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0" w:rsidRPr="00CD0670" w:rsidRDefault="00CD0670" w:rsidP="00CD0670">
      <w:pPr>
        <w:shd w:val="clear" w:color="auto" w:fill="F9F9F9"/>
        <w:spacing w:before="41" w:after="41" w:line="240" w:lineRule="auto"/>
        <w:jc w:val="center"/>
        <w:rPr>
          <w:rFonts w:ascii="Tahoma" w:eastAsia="Times New Roman" w:hAnsi="Tahoma" w:cs="Tahoma"/>
          <w:color w:val="211F1F"/>
          <w:sz w:val="16"/>
          <w:szCs w:val="16"/>
        </w:rPr>
      </w:pPr>
      <w:r w:rsidRPr="00CD0670">
        <w:rPr>
          <w:rFonts w:ascii="Tahoma" w:eastAsia="Times New Roman" w:hAnsi="Tahoma" w:cs="Tahoma"/>
          <w:b/>
          <w:bCs/>
          <w:color w:val="211F1F"/>
          <w:sz w:val="16"/>
        </w:rPr>
        <w:t>ПРОГРАМА ОТРИМАННЯ ЧАСТКОВОЇ КОМПЕНСАЦІЇ (25%) ВАРТОСТІ ПРИДБАНОЇ СІЛЬСЬКОГОСПОДАРСЬКОЇ ТЕХНІКИ ТА ОБЛАДНАННЯ УКРАЇНСЬКОГО ВИРОБНИЦТВА У 2018 РОЦІ</w:t>
      </w:r>
    </w:p>
    <w:p w:rsidR="00CD0670" w:rsidRPr="00CD0670" w:rsidRDefault="00CD0670" w:rsidP="00CD0670">
      <w:pPr>
        <w:shd w:val="clear" w:color="auto" w:fill="F9F9F9"/>
        <w:spacing w:before="41" w:after="41" w:line="240" w:lineRule="auto"/>
        <w:jc w:val="both"/>
        <w:rPr>
          <w:rFonts w:ascii="Tahoma" w:eastAsia="Times New Roman" w:hAnsi="Tahoma" w:cs="Tahoma"/>
          <w:color w:val="211F1F"/>
          <w:sz w:val="16"/>
          <w:szCs w:val="16"/>
        </w:rPr>
      </w:pPr>
      <w:r w:rsidRPr="00CD0670">
        <w:rPr>
          <w:rFonts w:ascii="Tahoma" w:eastAsia="Times New Roman" w:hAnsi="Tahoma" w:cs="Tahoma"/>
          <w:color w:val="211F1F"/>
          <w:sz w:val="16"/>
          <w:szCs w:val="16"/>
        </w:rPr>
        <w:t> </w:t>
      </w:r>
    </w:p>
    <w:p w:rsidR="00CD0670" w:rsidRPr="00CD0670" w:rsidRDefault="00CD0670" w:rsidP="00CD0670">
      <w:pPr>
        <w:shd w:val="clear" w:color="auto" w:fill="F9F9F9"/>
        <w:spacing w:before="41" w:after="41" w:line="240" w:lineRule="auto"/>
        <w:jc w:val="both"/>
        <w:rPr>
          <w:rFonts w:ascii="Tahoma" w:eastAsia="Times New Roman" w:hAnsi="Tahoma" w:cs="Tahoma"/>
          <w:color w:val="211F1F"/>
          <w:sz w:val="16"/>
          <w:szCs w:val="16"/>
        </w:rPr>
      </w:pPr>
      <w:r w:rsidRPr="00CD0670">
        <w:rPr>
          <w:rFonts w:ascii="Tahoma" w:eastAsia="Times New Roman" w:hAnsi="Tahoma" w:cs="Tahoma"/>
          <w:b/>
          <w:bCs/>
          <w:color w:val="211F1F"/>
          <w:sz w:val="16"/>
        </w:rPr>
        <w:t>ОБОВ’ЯЗКОВІ УМОВИ ДЛЯ УЧАСТІ У ПРОГРАМІ:</w:t>
      </w:r>
    </w:p>
    <w:p w:rsidR="00CD0670" w:rsidRPr="00CD0670" w:rsidRDefault="00CD0670" w:rsidP="00CD0670">
      <w:pPr>
        <w:shd w:val="clear" w:color="auto" w:fill="F9F9F9"/>
        <w:spacing w:before="41" w:after="41" w:line="240" w:lineRule="auto"/>
        <w:jc w:val="both"/>
        <w:rPr>
          <w:rFonts w:ascii="Tahoma" w:eastAsia="Times New Roman" w:hAnsi="Tahoma" w:cs="Tahoma"/>
          <w:color w:val="211F1F"/>
          <w:sz w:val="16"/>
          <w:szCs w:val="16"/>
        </w:rPr>
      </w:pPr>
      <w:r w:rsidRPr="00CD0670">
        <w:rPr>
          <w:rFonts w:ascii="Tahoma" w:eastAsia="Times New Roman" w:hAnsi="Tahoma" w:cs="Tahoma"/>
          <w:color w:val="211F1F"/>
          <w:sz w:val="16"/>
          <w:szCs w:val="16"/>
        </w:rPr>
        <w:t> </w:t>
      </w:r>
    </w:p>
    <w:p w:rsidR="00CD0670" w:rsidRPr="00CD0670" w:rsidRDefault="00CD0670" w:rsidP="00CD0670">
      <w:pPr>
        <w:shd w:val="clear" w:color="auto" w:fill="F9F9F9"/>
        <w:spacing w:before="41" w:after="41" w:line="240" w:lineRule="auto"/>
        <w:jc w:val="both"/>
        <w:rPr>
          <w:rFonts w:ascii="Tahoma" w:eastAsia="Times New Roman" w:hAnsi="Tahoma" w:cs="Tahoma"/>
          <w:color w:val="211F1F"/>
          <w:sz w:val="16"/>
          <w:szCs w:val="16"/>
        </w:rPr>
      </w:pPr>
      <w:r w:rsidRPr="00CD0670">
        <w:rPr>
          <w:rFonts w:ascii="Tahoma" w:eastAsia="Times New Roman" w:hAnsi="Tahoma" w:cs="Tahoma"/>
          <w:color w:val="211F1F"/>
          <w:sz w:val="16"/>
          <w:szCs w:val="16"/>
        </w:rPr>
        <w:t> </w:t>
      </w:r>
    </w:p>
    <w:p w:rsidR="00CD0670" w:rsidRPr="00CD0670" w:rsidRDefault="00CD0670" w:rsidP="00CD0670">
      <w:pPr>
        <w:shd w:val="clear" w:color="auto" w:fill="F9F9F9"/>
        <w:spacing w:before="41" w:after="41" w:line="240" w:lineRule="auto"/>
        <w:jc w:val="both"/>
        <w:rPr>
          <w:rFonts w:ascii="Tahoma" w:eastAsia="Times New Roman" w:hAnsi="Tahoma" w:cs="Tahoma"/>
          <w:color w:val="211F1F"/>
          <w:sz w:val="16"/>
          <w:szCs w:val="16"/>
        </w:rPr>
      </w:pPr>
      <w:r w:rsidRPr="00CD0670">
        <w:rPr>
          <w:rFonts w:ascii="Tahoma" w:eastAsia="Times New Roman" w:hAnsi="Tahoma" w:cs="Tahoma"/>
          <w:color w:val="211F1F"/>
          <w:sz w:val="16"/>
          <w:szCs w:val="16"/>
        </w:rPr>
        <w:t>1. 25% компенсація надається за придбання техніки, яка  входить у </w:t>
      </w:r>
      <w:hyperlink r:id="rId4" w:history="1">
        <w:r w:rsidRPr="00CD0670">
          <w:rPr>
            <w:rFonts w:ascii="Tahoma" w:eastAsia="Times New Roman" w:hAnsi="Tahoma" w:cs="Tahoma"/>
            <w:color w:val="008ACF"/>
            <w:sz w:val="16"/>
          </w:rPr>
          <w:t>Перелік вітчизняної техніки та обладнання для АПК</w:t>
        </w:r>
      </w:hyperlink>
      <w:r w:rsidRPr="00CD0670">
        <w:rPr>
          <w:rFonts w:ascii="Tahoma" w:eastAsia="Times New Roman" w:hAnsi="Tahoma" w:cs="Tahoma"/>
          <w:color w:val="211F1F"/>
          <w:sz w:val="16"/>
          <w:szCs w:val="16"/>
        </w:rPr>
        <w:t>, затверджений комісією Мінекономрозвитку. Перелік включає 60 українських заводів-виробників – це майже 2000 одиниць техніки та обладнання. Перелік розміщений за посиланням: </w:t>
      </w:r>
      <w:hyperlink r:id="rId5" w:history="1">
        <w:r w:rsidRPr="00CD0670">
          <w:rPr>
            <w:rFonts w:ascii="Tahoma" w:eastAsia="Times New Roman" w:hAnsi="Tahoma" w:cs="Tahoma"/>
            <w:color w:val="008ACF"/>
            <w:sz w:val="16"/>
          </w:rPr>
          <w:t>http://www.minagro.gov.ua/uk/support_apk?nid=24338</w:t>
        </w:r>
      </w:hyperlink>
      <w:r w:rsidRPr="00CD0670">
        <w:rPr>
          <w:rFonts w:ascii="Tahoma" w:eastAsia="Times New Roman" w:hAnsi="Tahoma" w:cs="Tahoma"/>
          <w:color w:val="211F1F"/>
          <w:sz w:val="16"/>
          <w:szCs w:val="16"/>
        </w:rPr>
        <w:t>.</w:t>
      </w:r>
    </w:p>
    <w:p w:rsidR="00CD0670" w:rsidRPr="00CD0670" w:rsidRDefault="00CD0670" w:rsidP="00CD0670">
      <w:pPr>
        <w:shd w:val="clear" w:color="auto" w:fill="F9F9F9"/>
        <w:spacing w:before="41" w:after="41" w:line="240" w:lineRule="auto"/>
        <w:jc w:val="both"/>
        <w:rPr>
          <w:rFonts w:ascii="Tahoma" w:eastAsia="Times New Roman" w:hAnsi="Tahoma" w:cs="Tahoma"/>
          <w:color w:val="211F1F"/>
          <w:sz w:val="16"/>
          <w:szCs w:val="16"/>
        </w:rPr>
      </w:pPr>
      <w:r w:rsidRPr="00CD0670">
        <w:rPr>
          <w:rFonts w:ascii="Tahoma" w:eastAsia="Times New Roman" w:hAnsi="Tahoma" w:cs="Tahoma"/>
          <w:color w:val="211F1F"/>
          <w:sz w:val="16"/>
          <w:szCs w:val="16"/>
        </w:rPr>
        <w:t> </w:t>
      </w:r>
    </w:p>
    <w:p w:rsidR="00CD0670" w:rsidRPr="00CD0670" w:rsidRDefault="00CD0670" w:rsidP="00CD0670">
      <w:pPr>
        <w:shd w:val="clear" w:color="auto" w:fill="F9F9F9"/>
        <w:spacing w:before="41" w:after="41" w:line="240" w:lineRule="auto"/>
        <w:jc w:val="both"/>
        <w:rPr>
          <w:rFonts w:ascii="Tahoma" w:eastAsia="Times New Roman" w:hAnsi="Tahoma" w:cs="Tahoma"/>
          <w:color w:val="211F1F"/>
          <w:sz w:val="16"/>
          <w:szCs w:val="16"/>
        </w:rPr>
      </w:pPr>
      <w:r w:rsidRPr="00CD0670">
        <w:rPr>
          <w:rFonts w:ascii="Tahoma" w:eastAsia="Times New Roman" w:hAnsi="Tahoma" w:cs="Tahoma"/>
          <w:color w:val="211F1F"/>
          <w:sz w:val="16"/>
          <w:szCs w:val="16"/>
        </w:rPr>
        <w:t> 2. Купівля та отримання компенсації вартості техніки здійснюється через державні банки та банки, у статутному капіталі яких 75 і більше відсотків належить державі (Ощадбанк, Укрексімбанк, Укргазбанк, ПриватБанк)  (далі – Банк).</w:t>
      </w:r>
    </w:p>
    <w:p w:rsidR="00CD0670" w:rsidRPr="00CD0670" w:rsidRDefault="00CD0670" w:rsidP="00CD0670">
      <w:pPr>
        <w:shd w:val="clear" w:color="auto" w:fill="F9F9F9"/>
        <w:spacing w:before="41" w:after="41" w:line="240" w:lineRule="auto"/>
        <w:jc w:val="both"/>
        <w:rPr>
          <w:rFonts w:ascii="Tahoma" w:eastAsia="Times New Roman" w:hAnsi="Tahoma" w:cs="Tahoma"/>
          <w:color w:val="211F1F"/>
          <w:sz w:val="16"/>
          <w:szCs w:val="16"/>
        </w:rPr>
      </w:pPr>
      <w:r w:rsidRPr="00CD0670">
        <w:rPr>
          <w:rFonts w:ascii="Tahoma" w:eastAsia="Times New Roman" w:hAnsi="Tahoma" w:cs="Tahoma"/>
          <w:color w:val="211F1F"/>
          <w:sz w:val="16"/>
          <w:szCs w:val="16"/>
        </w:rPr>
        <w:t> </w:t>
      </w:r>
    </w:p>
    <w:p w:rsidR="00CD0670" w:rsidRPr="00CD0670" w:rsidRDefault="00CD0670" w:rsidP="00CD0670">
      <w:pPr>
        <w:shd w:val="clear" w:color="auto" w:fill="F9F9F9"/>
        <w:spacing w:before="41" w:after="41" w:line="240" w:lineRule="auto"/>
        <w:jc w:val="both"/>
        <w:rPr>
          <w:rFonts w:ascii="Tahoma" w:eastAsia="Times New Roman" w:hAnsi="Tahoma" w:cs="Tahoma"/>
          <w:color w:val="211F1F"/>
          <w:sz w:val="16"/>
          <w:szCs w:val="16"/>
        </w:rPr>
      </w:pPr>
      <w:r w:rsidRPr="00CD0670">
        <w:rPr>
          <w:rFonts w:ascii="Tahoma" w:eastAsia="Times New Roman" w:hAnsi="Tahoma" w:cs="Tahoma"/>
          <w:color w:val="211F1F"/>
          <w:sz w:val="16"/>
          <w:szCs w:val="16"/>
        </w:rPr>
        <w:t> 3. Учасник програми (сільгосптоваровиробник) не повинен бути банкрутом/ не перебувати на стадії ліквідації/ не мати відкритої  справи про банкрутство/не мати прострочену більше ніж за 6 місяців заборгованість перед державним бюджетом, Пенсійним фондом України та фондами загальнообов’язкового державного соціального страхування.</w:t>
      </w:r>
    </w:p>
    <w:p w:rsidR="00CD0670" w:rsidRPr="00CD0670" w:rsidRDefault="00CD0670" w:rsidP="00CD0670">
      <w:pPr>
        <w:shd w:val="clear" w:color="auto" w:fill="F9F9F9"/>
        <w:spacing w:before="41" w:after="41" w:line="240" w:lineRule="auto"/>
        <w:jc w:val="both"/>
        <w:rPr>
          <w:rFonts w:ascii="Tahoma" w:eastAsia="Times New Roman" w:hAnsi="Tahoma" w:cs="Tahoma"/>
          <w:color w:val="211F1F"/>
          <w:sz w:val="16"/>
          <w:szCs w:val="16"/>
        </w:rPr>
      </w:pPr>
      <w:r w:rsidRPr="00CD0670">
        <w:rPr>
          <w:rFonts w:ascii="Tahoma" w:eastAsia="Times New Roman" w:hAnsi="Tahoma" w:cs="Tahoma"/>
          <w:color w:val="211F1F"/>
          <w:sz w:val="16"/>
          <w:szCs w:val="16"/>
        </w:rPr>
        <w:t>    У разі встановлення контролюючими органами факту незаконного отримання бюджетних коштів  в рамках програми, такі кошти протягом місяця повертаються до державного бюджету та часткова компенсація вартості техніки та обладнання не надається протягом трьох років від дати виявлення такого порушення.</w:t>
      </w:r>
    </w:p>
    <w:p w:rsidR="00CD0670" w:rsidRPr="00CD0670" w:rsidRDefault="00CD0670" w:rsidP="00CD0670">
      <w:pPr>
        <w:shd w:val="clear" w:color="auto" w:fill="F9F9F9"/>
        <w:spacing w:before="41" w:after="41" w:line="240" w:lineRule="auto"/>
        <w:jc w:val="both"/>
        <w:rPr>
          <w:rFonts w:ascii="Tahoma" w:eastAsia="Times New Roman" w:hAnsi="Tahoma" w:cs="Tahoma"/>
          <w:color w:val="211F1F"/>
          <w:sz w:val="16"/>
          <w:szCs w:val="16"/>
        </w:rPr>
      </w:pPr>
      <w:r w:rsidRPr="00CD0670">
        <w:rPr>
          <w:rFonts w:ascii="Tahoma" w:eastAsia="Times New Roman" w:hAnsi="Tahoma" w:cs="Tahoma"/>
          <w:color w:val="211F1F"/>
          <w:sz w:val="16"/>
          <w:szCs w:val="16"/>
        </w:rPr>
        <w:t> </w:t>
      </w:r>
    </w:p>
    <w:p w:rsidR="00CD0670" w:rsidRPr="00CD0670" w:rsidRDefault="00CD0670" w:rsidP="00CD0670">
      <w:pPr>
        <w:shd w:val="clear" w:color="auto" w:fill="F9F9F9"/>
        <w:spacing w:before="41" w:after="41" w:line="240" w:lineRule="auto"/>
        <w:jc w:val="both"/>
        <w:rPr>
          <w:rFonts w:ascii="Tahoma" w:eastAsia="Times New Roman" w:hAnsi="Tahoma" w:cs="Tahoma"/>
          <w:color w:val="211F1F"/>
          <w:sz w:val="16"/>
          <w:szCs w:val="16"/>
        </w:rPr>
      </w:pPr>
      <w:r w:rsidRPr="00CD0670">
        <w:rPr>
          <w:rFonts w:ascii="Tahoma" w:eastAsia="Times New Roman" w:hAnsi="Tahoma" w:cs="Tahoma"/>
          <w:color w:val="211F1F"/>
          <w:sz w:val="16"/>
          <w:szCs w:val="16"/>
        </w:rPr>
        <w:t> 4. Техніка та обладнання, придбані з частковою компенсацією вартості, протягом трьох років мають використовуватись за призначенням та не підлягають відчуженню.</w:t>
      </w:r>
    </w:p>
    <w:p w:rsidR="00CD0670" w:rsidRPr="00CD0670" w:rsidRDefault="00CD0670" w:rsidP="00CD0670">
      <w:pPr>
        <w:shd w:val="clear" w:color="auto" w:fill="F9F9F9"/>
        <w:spacing w:before="41" w:after="41" w:line="240" w:lineRule="auto"/>
        <w:jc w:val="both"/>
        <w:rPr>
          <w:rFonts w:ascii="Tahoma" w:eastAsia="Times New Roman" w:hAnsi="Tahoma" w:cs="Tahoma"/>
          <w:color w:val="211F1F"/>
          <w:sz w:val="16"/>
          <w:szCs w:val="16"/>
        </w:rPr>
      </w:pPr>
      <w:r w:rsidRPr="00CD0670">
        <w:rPr>
          <w:rFonts w:ascii="Tahoma" w:eastAsia="Times New Roman" w:hAnsi="Tahoma" w:cs="Tahoma"/>
          <w:color w:val="211F1F"/>
          <w:sz w:val="16"/>
          <w:szCs w:val="16"/>
        </w:rPr>
        <w:t>     У разі відчуження такої техніки та обладнання сільськогосподарський товаровиробник повертає отримані бюджетні кошти і позбавляється протягом трьох років права на отримання часткової компенсації вартості техніки та обладнання.</w:t>
      </w:r>
    </w:p>
    <w:p w:rsidR="00CD0670" w:rsidRPr="00CD0670" w:rsidRDefault="00CD0670" w:rsidP="00CD0670">
      <w:pPr>
        <w:shd w:val="clear" w:color="auto" w:fill="F9F9F9"/>
        <w:spacing w:before="41" w:after="41" w:line="240" w:lineRule="auto"/>
        <w:jc w:val="both"/>
        <w:rPr>
          <w:rFonts w:ascii="Tahoma" w:eastAsia="Times New Roman" w:hAnsi="Tahoma" w:cs="Tahoma"/>
          <w:color w:val="211F1F"/>
          <w:sz w:val="16"/>
          <w:szCs w:val="16"/>
        </w:rPr>
      </w:pPr>
      <w:r w:rsidRPr="00CD0670">
        <w:rPr>
          <w:rFonts w:ascii="Tahoma" w:eastAsia="Times New Roman" w:hAnsi="Tahoma" w:cs="Tahoma"/>
          <w:color w:val="211F1F"/>
          <w:sz w:val="16"/>
          <w:szCs w:val="16"/>
        </w:rPr>
        <w:t> </w:t>
      </w:r>
    </w:p>
    <w:p w:rsidR="00CD0670" w:rsidRPr="00CD0670" w:rsidRDefault="00CD0670" w:rsidP="00CD0670">
      <w:pPr>
        <w:shd w:val="clear" w:color="auto" w:fill="F9F9F9"/>
        <w:spacing w:before="41" w:after="41" w:line="240" w:lineRule="auto"/>
        <w:jc w:val="center"/>
        <w:rPr>
          <w:rFonts w:ascii="Tahoma" w:eastAsia="Times New Roman" w:hAnsi="Tahoma" w:cs="Tahoma"/>
          <w:color w:val="211F1F"/>
          <w:sz w:val="16"/>
          <w:szCs w:val="16"/>
        </w:rPr>
      </w:pPr>
      <w:r w:rsidRPr="00CD0670">
        <w:rPr>
          <w:rFonts w:ascii="Tahoma" w:eastAsia="Times New Roman" w:hAnsi="Tahoma" w:cs="Tahoma"/>
          <w:b/>
          <w:bCs/>
          <w:color w:val="211F1F"/>
          <w:sz w:val="16"/>
        </w:rPr>
        <w:t>ЩО ПОТРІБНО ЗРОБИТИ ДЛЯ ОТРИМАННЯ 25% КОМПЕНСАЦІЇ</w:t>
      </w:r>
    </w:p>
    <w:p w:rsidR="00CD0670" w:rsidRPr="00CD0670" w:rsidRDefault="00CD0670" w:rsidP="00CD0670">
      <w:pPr>
        <w:shd w:val="clear" w:color="auto" w:fill="F9F9F9"/>
        <w:spacing w:before="41" w:after="41" w:line="240" w:lineRule="auto"/>
        <w:jc w:val="both"/>
        <w:rPr>
          <w:rFonts w:ascii="Tahoma" w:eastAsia="Times New Roman" w:hAnsi="Tahoma" w:cs="Tahoma"/>
          <w:color w:val="211F1F"/>
          <w:sz w:val="16"/>
          <w:szCs w:val="16"/>
        </w:rPr>
      </w:pPr>
      <w:r w:rsidRPr="00CD0670">
        <w:rPr>
          <w:rFonts w:ascii="Tahoma" w:eastAsia="Times New Roman" w:hAnsi="Tahoma" w:cs="Tahoma"/>
          <w:color w:val="211F1F"/>
          <w:sz w:val="16"/>
          <w:szCs w:val="16"/>
        </w:rPr>
        <w:t> 1. Ознайомитись із </w:t>
      </w:r>
      <w:hyperlink r:id="rId6" w:history="1">
        <w:r w:rsidRPr="00CD0670">
          <w:rPr>
            <w:rFonts w:ascii="Tahoma" w:eastAsia="Times New Roman" w:hAnsi="Tahoma" w:cs="Tahoma"/>
            <w:color w:val="008ACF"/>
            <w:sz w:val="16"/>
          </w:rPr>
          <w:t>Переліком техніки та обладнання</w:t>
        </w:r>
      </w:hyperlink>
      <w:r w:rsidRPr="00CD0670">
        <w:rPr>
          <w:rFonts w:ascii="Tahoma" w:eastAsia="Times New Roman" w:hAnsi="Tahoma" w:cs="Tahoma"/>
          <w:color w:val="211F1F"/>
          <w:sz w:val="16"/>
          <w:szCs w:val="16"/>
        </w:rPr>
        <w:t>: </w:t>
      </w:r>
      <w:hyperlink r:id="rId7" w:history="1">
        <w:r w:rsidRPr="00CD0670">
          <w:rPr>
            <w:rFonts w:ascii="Tahoma" w:eastAsia="Times New Roman" w:hAnsi="Tahoma" w:cs="Tahoma"/>
            <w:color w:val="008ACF"/>
            <w:sz w:val="16"/>
          </w:rPr>
          <w:t>http://www.minagro.gov.ua/uk/support_apk?nid=24338</w:t>
        </w:r>
      </w:hyperlink>
    </w:p>
    <w:p w:rsidR="00CD0670" w:rsidRPr="00CD0670" w:rsidRDefault="00CD0670" w:rsidP="00CD0670">
      <w:pPr>
        <w:shd w:val="clear" w:color="auto" w:fill="F9F9F9"/>
        <w:spacing w:before="41" w:after="41" w:line="240" w:lineRule="auto"/>
        <w:jc w:val="both"/>
        <w:rPr>
          <w:rFonts w:ascii="Tahoma" w:eastAsia="Times New Roman" w:hAnsi="Tahoma" w:cs="Tahoma"/>
          <w:color w:val="211F1F"/>
          <w:sz w:val="16"/>
          <w:szCs w:val="16"/>
        </w:rPr>
      </w:pPr>
      <w:r w:rsidRPr="00CD0670">
        <w:rPr>
          <w:rFonts w:ascii="Tahoma" w:eastAsia="Times New Roman" w:hAnsi="Tahoma" w:cs="Tahoma"/>
          <w:color w:val="211F1F"/>
          <w:sz w:val="16"/>
          <w:szCs w:val="16"/>
        </w:rPr>
        <w:t> 2. Визначитись із необхідною технікою та обладнанням, яка входить до вказаного Переліку.</w:t>
      </w:r>
    </w:p>
    <w:p w:rsidR="00CD0670" w:rsidRPr="00CD0670" w:rsidRDefault="00CD0670" w:rsidP="00CD0670">
      <w:pPr>
        <w:shd w:val="clear" w:color="auto" w:fill="F9F9F9"/>
        <w:spacing w:before="41" w:after="41" w:line="240" w:lineRule="auto"/>
        <w:jc w:val="both"/>
        <w:rPr>
          <w:rFonts w:ascii="Tahoma" w:eastAsia="Times New Roman" w:hAnsi="Tahoma" w:cs="Tahoma"/>
          <w:color w:val="211F1F"/>
          <w:sz w:val="16"/>
          <w:szCs w:val="16"/>
        </w:rPr>
      </w:pPr>
      <w:r w:rsidRPr="00CD0670">
        <w:rPr>
          <w:rFonts w:ascii="Tahoma" w:eastAsia="Times New Roman" w:hAnsi="Tahoma" w:cs="Tahoma"/>
          <w:color w:val="211F1F"/>
          <w:sz w:val="16"/>
          <w:szCs w:val="16"/>
        </w:rPr>
        <w:t> 3. Відкрити рахунок в одному із державних банків, або банків, у статутному капіталі яких 75 і більше відсотків належить державі та здійснити в ньому оплату за техніку чи обладнання.</w:t>
      </w:r>
    </w:p>
    <w:p w:rsidR="00CD0670" w:rsidRPr="00CD0670" w:rsidRDefault="00CD0670" w:rsidP="00CD0670">
      <w:pPr>
        <w:shd w:val="clear" w:color="auto" w:fill="F9F9F9"/>
        <w:spacing w:before="41" w:after="41" w:line="240" w:lineRule="auto"/>
        <w:jc w:val="both"/>
        <w:rPr>
          <w:rFonts w:ascii="Tahoma" w:eastAsia="Times New Roman" w:hAnsi="Tahoma" w:cs="Tahoma"/>
          <w:color w:val="211F1F"/>
          <w:sz w:val="16"/>
          <w:szCs w:val="16"/>
        </w:rPr>
      </w:pPr>
      <w:r w:rsidRPr="00CD0670">
        <w:rPr>
          <w:rFonts w:ascii="Tahoma" w:eastAsia="Times New Roman" w:hAnsi="Tahoma" w:cs="Tahoma"/>
          <w:color w:val="211F1F"/>
          <w:sz w:val="16"/>
          <w:szCs w:val="16"/>
        </w:rPr>
        <w:t> 4. Подати до Банку заявку за формою, затвердженою наказом Мінагрополітики від 18.04.2017 № 228 "Про затвердження форм для отримання часткової компенсації вартості сільськогосподарської техніки та обладнання вітчизняного виробництва", та  документи, а саме:</w:t>
      </w:r>
    </w:p>
    <w:p w:rsidR="00CD0670" w:rsidRPr="00CD0670" w:rsidRDefault="00CD0670" w:rsidP="00CD0670">
      <w:pPr>
        <w:shd w:val="clear" w:color="auto" w:fill="F9F9F9"/>
        <w:spacing w:before="41" w:after="41" w:line="240" w:lineRule="auto"/>
        <w:jc w:val="both"/>
        <w:rPr>
          <w:rFonts w:ascii="Tahoma" w:eastAsia="Times New Roman" w:hAnsi="Tahoma" w:cs="Tahoma"/>
          <w:color w:val="211F1F"/>
          <w:sz w:val="16"/>
          <w:szCs w:val="16"/>
        </w:rPr>
      </w:pPr>
      <w:r w:rsidRPr="00CD0670">
        <w:rPr>
          <w:rFonts w:ascii="Tahoma" w:eastAsia="Times New Roman" w:hAnsi="Tahoma" w:cs="Tahoma"/>
          <w:color w:val="211F1F"/>
          <w:sz w:val="16"/>
          <w:szCs w:val="16"/>
        </w:rPr>
        <w:t>    - копію платіжного доручення;</w:t>
      </w:r>
    </w:p>
    <w:p w:rsidR="00CD0670" w:rsidRPr="00CD0670" w:rsidRDefault="00CD0670" w:rsidP="00CD0670">
      <w:pPr>
        <w:shd w:val="clear" w:color="auto" w:fill="F9F9F9"/>
        <w:spacing w:before="41" w:after="41" w:line="240" w:lineRule="auto"/>
        <w:jc w:val="both"/>
        <w:rPr>
          <w:rFonts w:ascii="Tahoma" w:eastAsia="Times New Roman" w:hAnsi="Tahoma" w:cs="Tahoma"/>
          <w:color w:val="211F1F"/>
          <w:sz w:val="16"/>
          <w:szCs w:val="16"/>
        </w:rPr>
      </w:pPr>
      <w:r w:rsidRPr="00CD0670">
        <w:rPr>
          <w:rFonts w:ascii="Tahoma" w:eastAsia="Times New Roman" w:hAnsi="Tahoma" w:cs="Tahoma"/>
          <w:color w:val="211F1F"/>
          <w:sz w:val="16"/>
          <w:szCs w:val="16"/>
        </w:rPr>
        <w:t>    - акт приймання-передачі техніки та обладнання;</w:t>
      </w:r>
    </w:p>
    <w:p w:rsidR="00CD0670" w:rsidRPr="00CD0670" w:rsidRDefault="00CD0670" w:rsidP="00CD0670">
      <w:pPr>
        <w:shd w:val="clear" w:color="auto" w:fill="F9F9F9"/>
        <w:spacing w:before="41" w:after="41" w:line="240" w:lineRule="auto"/>
        <w:jc w:val="both"/>
        <w:rPr>
          <w:rFonts w:ascii="Tahoma" w:eastAsia="Times New Roman" w:hAnsi="Tahoma" w:cs="Tahoma"/>
          <w:color w:val="211F1F"/>
          <w:sz w:val="16"/>
          <w:szCs w:val="16"/>
        </w:rPr>
      </w:pPr>
      <w:r w:rsidRPr="00CD0670">
        <w:rPr>
          <w:rFonts w:ascii="Tahoma" w:eastAsia="Times New Roman" w:hAnsi="Tahoma" w:cs="Tahoma"/>
          <w:color w:val="211F1F"/>
          <w:sz w:val="16"/>
          <w:szCs w:val="16"/>
        </w:rPr>
        <w:t>    - свідоцтво про державну реєстрацію техніки (якщо техніка підлягає обов’язковій державній реєстрації);</w:t>
      </w:r>
    </w:p>
    <w:p w:rsidR="00CD0670" w:rsidRPr="00CD0670" w:rsidRDefault="00CD0670" w:rsidP="00CD0670">
      <w:pPr>
        <w:shd w:val="clear" w:color="auto" w:fill="F9F9F9"/>
        <w:spacing w:before="41" w:after="41" w:line="240" w:lineRule="auto"/>
        <w:jc w:val="both"/>
        <w:rPr>
          <w:rFonts w:ascii="Tahoma" w:eastAsia="Times New Roman" w:hAnsi="Tahoma" w:cs="Tahoma"/>
          <w:color w:val="211F1F"/>
          <w:sz w:val="16"/>
          <w:szCs w:val="16"/>
        </w:rPr>
      </w:pPr>
      <w:r w:rsidRPr="00CD0670">
        <w:rPr>
          <w:rFonts w:ascii="Tahoma" w:eastAsia="Times New Roman" w:hAnsi="Tahoma" w:cs="Tahoma"/>
          <w:color w:val="211F1F"/>
          <w:sz w:val="16"/>
          <w:szCs w:val="16"/>
        </w:rPr>
        <w:t>    - довідку, підтверджену Державною фіскальною службою, про відсутність простроченої більше ніж шість місяців заборгованості перед державним бюджетом, Пенсійним фондом України, фондами загальнообов'язкового державного соціального страхування;</w:t>
      </w:r>
    </w:p>
    <w:p w:rsidR="00CD0670" w:rsidRPr="00CD0670" w:rsidRDefault="00CD0670" w:rsidP="00CD0670">
      <w:pPr>
        <w:shd w:val="clear" w:color="auto" w:fill="F9F9F9"/>
        <w:spacing w:before="41" w:after="41" w:line="240" w:lineRule="auto"/>
        <w:jc w:val="both"/>
        <w:rPr>
          <w:rFonts w:ascii="Tahoma" w:eastAsia="Times New Roman" w:hAnsi="Tahoma" w:cs="Tahoma"/>
          <w:color w:val="211F1F"/>
          <w:sz w:val="16"/>
          <w:szCs w:val="16"/>
        </w:rPr>
      </w:pPr>
      <w:r w:rsidRPr="00CD0670">
        <w:rPr>
          <w:rFonts w:ascii="Tahoma" w:eastAsia="Times New Roman" w:hAnsi="Tahoma" w:cs="Tahoma"/>
          <w:color w:val="211F1F"/>
          <w:sz w:val="16"/>
          <w:szCs w:val="16"/>
        </w:rPr>
        <w:t>    - витяг з Єдиного державного реєстру юридичних осіб, фізичних осіб-підприємців та громадських формувань, з інформацією, що підприємство не перебуває на стадії ліквідації, щодо нього не порушено справу про банкрутство, не визнано банкрутом;</w:t>
      </w:r>
    </w:p>
    <w:p w:rsidR="00CD0670" w:rsidRPr="00CD0670" w:rsidRDefault="00CD0670" w:rsidP="00CD0670">
      <w:pPr>
        <w:shd w:val="clear" w:color="auto" w:fill="F9F9F9"/>
        <w:spacing w:before="41" w:after="41" w:line="240" w:lineRule="auto"/>
        <w:jc w:val="both"/>
        <w:rPr>
          <w:rFonts w:ascii="Tahoma" w:eastAsia="Times New Roman" w:hAnsi="Tahoma" w:cs="Tahoma"/>
          <w:color w:val="211F1F"/>
          <w:sz w:val="16"/>
          <w:szCs w:val="16"/>
        </w:rPr>
      </w:pPr>
      <w:r w:rsidRPr="00CD0670">
        <w:rPr>
          <w:rFonts w:ascii="Tahoma" w:eastAsia="Times New Roman" w:hAnsi="Tahoma" w:cs="Tahoma"/>
          <w:color w:val="211F1F"/>
          <w:sz w:val="16"/>
          <w:szCs w:val="16"/>
        </w:rPr>
        <w:t>    - згоду на розкриття Банком Мінагрополітики інформації щодо сільгосптоваровиробника, яка становить банківську таємницю або містить персональні дані (за формою, встановленою Банком).</w:t>
      </w:r>
    </w:p>
    <w:p w:rsidR="00CD0670" w:rsidRPr="00CD0670" w:rsidRDefault="00CD0670" w:rsidP="00CD0670">
      <w:pPr>
        <w:shd w:val="clear" w:color="auto" w:fill="F9F9F9"/>
        <w:spacing w:before="41" w:after="41" w:line="240" w:lineRule="auto"/>
        <w:jc w:val="both"/>
        <w:rPr>
          <w:rFonts w:ascii="Tahoma" w:eastAsia="Times New Roman" w:hAnsi="Tahoma" w:cs="Tahoma"/>
          <w:color w:val="211F1F"/>
          <w:sz w:val="16"/>
          <w:szCs w:val="16"/>
        </w:rPr>
      </w:pPr>
      <w:r w:rsidRPr="00CD0670">
        <w:rPr>
          <w:rFonts w:ascii="Tahoma" w:eastAsia="Times New Roman" w:hAnsi="Tahoma" w:cs="Tahoma"/>
          <w:color w:val="211F1F"/>
          <w:sz w:val="16"/>
          <w:szCs w:val="16"/>
        </w:rPr>
        <w:t> </w:t>
      </w:r>
    </w:p>
    <w:p w:rsidR="00CD0670" w:rsidRPr="00CD0670" w:rsidRDefault="00CD0670" w:rsidP="00CD0670">
      <w:pPr>
        <w:shd w:val="clear" w:color="auto" w:fill="F9F9F9"/>
        <w:spacing w:before="41" w:after="41" w:line="240" w:lineRule="auto"/>
        <w:jc w:val="center"/>
        <w:rPr>
          <w:rFonts w:ascii="Tahoma" w:eastAsia="Times New Roman" w:hAnsi="Tahoma" w:cs="Tahoma"/>
          <w:color w:val="211F1F"/>
          <w:sz w:val="16"/>
          <w:szCs w:val="16"/>
        </w:rPr>
      </w:pPr>
      <w:r w:rsidRPr="00CD0670">
        <w:rPr>
          <w:rFonts w:ascii="Tahoma" w:eastAsia="Times New Roman" w:hAnsi="Tahoma" w:cs="Tahoma"/>
          <w:b/>
          <w:bCs/>
          <w:color w:val="211F1F"/>
          <w:sz w:val="16"/>
        </w:rPr>
        <w:t>ЯК ВИПЛАЧУЄТЬСЯ ЧАСТКОВА КОМПЕНСАЦІЯ ВАРТОСТІ ТЕХНІКИ ТА ОБЛАДНАННЯ</w:t>
      </w:r>
    </w:p>
    <w:p w:rsidR="00CD0670" w:rsidRPr="00CD0670" w:rsidRDefault="00CD0670" w:rsidP="00CD0670">
      <w:pPr>
        <w:shd w:val="clear" w:color="auto" w:fill="F9F9F9"/>
        <w:spacing w:before="41" w:after="41" w:line="240" w:lineRule="auto"/>
        <w:jc w:val="both"/>
        <w:rPr>
          <w:rFonts w:ascii="Tahoma" w:eastAsia="Times New Roman" w:hAnsi="Tahoma" w:cs="Tahoma"/>
          <w:color w:val="211F1F"/>
          <w:sz w:val="16"/>
          <w:szCs w:val="16"/>
        </w:rPr>
      </w:pPr>
      <w:r w:rsidRPr="00CD0670">
        <w:rPr>
          <w:rFonts w:ascii="Tahoma" w:eastAsia="Times New Roman" w:hAnsi="Tahoma" w:cs="Tahoma"/>
          <w:color w:val="211F1F"/>
          <w:sz w:val="16"/>
          <w:szCs w:val="16"/>
        </w:rPr>
        <w:t> 1. Банк надає Мінагрополітики інформацію щодо суми коштів, що підлягає частковій компенсації.</w:t>
      </w:r>
    </w:p>
    <w:p w:rsidR="00CD0670" w:rsidRPr="00CD0670" w:rsidRDefault="00CD0670" w:rsidP="00CD0670">
      <w:pPr>
        <w:shd w:val="clear" w:color="auto" w:fill="F9F9F9"/>
        <w:spacing w:before="41" w:after="41" w:line="240" w:lineRule="auto"/>
        <w:jc w:val="both"/>
        <w:rPr>
          <w:rFonts w:ascii="Tahoma" w:eastAsia="Times New Roman" w:hAnsi="Tahoma" w:cs="Tahoma"/>
          <w:color w:val="211F1F"/>
          <w:sz w:val="16"/>
          <w:szCs w:val="16"/>
        </w:rPr>
      </w:pPr>
      <w:r w:rsidRPr="00CD0670">
        <w:rPr>
          <w:rFonts w:ascii="Tahoma" w:eastAsia="Times New Roman" w:hAnsi="Tahoma" w:cs="Tahoma"/>
          <w:color w:val="211F1F"/>
          <w:sz w:val="16"/>
          <w:szCs w:val="16"/>
        </w:rPr>
        <w:t> 2. Мінагрополітики формує реєстр сільгосптоваровиробників, які придбали техніку та обладнання і претендують на отримання часткової компенсації.</w:t>
      </w:r>
    </w:p>
    <w:p w:rsidR="00CD0670" w:rsidRPr="00CD0670" w:rsidRDefault="00CD0670" w:rsidP="00CD0670">
      <w:pPr>
        <w:shd w:val="clear" w:color="auto" w:fill="F9F9F9"/>
        <w:spacing w:before="41" w:after="41" w:line="240" w:lineRule="auto"/>
        <w:jc w:val="both"/>
        <w:rPr>
          <w:rFonts w:ascii="Tahoma" w:eastAsia="Times New Roman" w:hAnsi="Tahoma" w:cs="Tahoma"/>
          <w:color w:val="211F1F"/>
          <w:sz w:val="16"/>
          <w:szCs w:val="16"/>
        </w:rPr>
      </w:pPr>
      <w:r w:rsidRPr="00CD0670">
        <w:rPr>
          <w:rFonts w:ascii="Tahoma" w:eastAsia="Times New Roman" w:hAnsi="Tahoma" w:cs="Tahoma"/>
          <w:color w:val="211F1F"/>
          <w:sz w:val="16"/>
          <w:szCs w:val="16"/>
        </w:rPr>
        <w:t> 3. На підставі реєстру та у межах відкритих асигнувань протягом місяця Мінагрополітики перераховує кошти Банку.</w:t>
      </w:r>
    </w:p>
    <w:p w:rsidR="00CD0670" w:rsidRPr="00CD0670" w:rsidRDefault="00CD0670" w:rsidP="00CD0670">
      <w:pPr>
        <w:shd w:val="clear" w:color="auto" w:fill="F9F9F9"/>
        <w:spacing w:before="41" w:after="41" w:line="240" w:lineRule="auto"/>
        <w:jc w:val="both"/>
        <w:rPr>
          <w:rFonts w:ascii="Tahoma" w:eastAsia="Times New Roman" w:hAnsi="Tahoma" w:cs="Tahoma"/>
          <w:color w:val="211F1F"/>
          <w:sz w:val="16"/>
          <w:szCs w:val="16"/>
        </w:rPr>
      </w:pPr>
      <w:r w:rsidRPr="00CD0670">
        <w:rPr>
          <w:rFonts w:ascii="Tahoma" w:eastAsia="Times New Roman" w:hAnsi="Tahoma" w:cs="Tahoma"/>
          <w:color w:val="211F1F"/>
          <w:sz w:val="16"/>
          <w:szCs w:val="16"/>
        </w:rPr>
        <w:t> 4. Банк протягом одного операційного дня перераховує кошти на поточні рахунки учасникам програми.</w:t>
      </w:r>
    </w:p>
    <w:p w:rsidR="0064149B" w:rsidRDefault="0064149B"/>
    <w:sectPr w:rsidR="0064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CD0670"/>
    <w:rsid w:val="0064149B"/>
    <w:rsid w:val="00CD0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0670"/>
    <w:rPr>
      <w:b/>
      <w:bCs/>
    </w:rPr>
  </w:style>
  <w:style w:type="paragraph" w:styleId="a4">
    <w:name w:val="Normal (Web)"/>
    <w:basedOn w:val="a"/>
    <w:uiPriority w:val="99"/>
    <w:semiHidden/>
    <w:unhideWhenUsed/>
    <w:rsid w:val="00CD0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D06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nagro.gov.ua/uk/support_apk?nid=243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agro.gov.ua/uk/ministry?nid=24055" TargetMode="External"/><Relationship Id="rId5" Type="http://schemas.openxmlformats.org/officeDocument/2006/relationships/hyperlink" Target="http://www.minagro.gov.ua/uk/support_apk?nid=24338" TargetMode="External"/><Relationship Id="rId4" Type="http://schemas.openxmlformats.org/officeDocument/2006/relationships/hyperlink" Target="http://minagro.gov.ua/uk/support_apk?nid=2433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Розман</dc:creator>
  <cp:keywords/>
  <dc:description/>
  <cp:lastModifiedBy>Розман</cp:lastModifiedBy>
  <cp:revision>2</cp:revision>
  <dcterms:created xsi:type="dcterms:W3CDTF">2018-08-06T15:31:00Z</dcterms:created>
  <dcterms:modified xsi:type="dcterms:W3CDTF">2018-08-06T15:31:00Z</dcterms:modified>
</cp:coreProperties>
</file>