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3218"/>
        <w:gridCol w:w="3969"/>
      </w:tblGrid>
      <w:tr w:rsidR="00615883" w:rsidTr="00615883">
        <w:tc>
          <w:tcPr>
            <w:tcW w:w="3303" w:type="dxa"/>
          </w:tcPr>
          <w:p w:rsidR="00615883" w:rsidRDefault="00615883" w:rsidP="0043263F">
            <w:pPr>
              <w:ind w:firstLine="0"/>
              <w:rPr>
                <w:rFonts w:ascii="Times New Roman" w:hAnsi="Times New Roman" w:cs="Times New Roman"/>
                <w:b/>
                <w:noProof/>
                <w:sz w:val="40"/>
                <w:lang w:eastAsia="uk-UA"/>
              </w:rPr>
            </w:pPr>
          </w:p>
        </w:tc>
        <w:tc>
          <w:tcPr>
            <w:tcW w:w="3218" w:type="dxa"/>
          </w:tcPr>
          <w:p w:rsidR="00615883" w:rsidRDefault="00615883" w:rsidP="0043263F">
            <w:pPr>
              <w:ind w:firstLine="0"/>
              <w:rPr>
                <w:rFonts w:ascii="Times New Roman" w:hAnsi="Times New Roman" w:cs="Times New Roman"/>
                <w:b/>
                <w:noProof/>
                <w:sz w:val="40"/>
                <w:lang w:eastAsia="uk-UA"/>
              </w:rPr>
            </w:pPr>
            <w:r w:rsidRPr="00032B72">
              <w:rPr>
                <w:rFonts w:ascii="Times New Roman" w:hAnsi="Times New Roman" w:cs="Times New Roman"/>
                <w:b/>
                <w:noProof/>
                <w:sz w:val="40"/>
                <w:lang w:eastAsia="uk-UA"/>
              </w:rPr>
              <w:drawing>
                <wp:inline distT="0" distB="0" distL="0" distR="0" wp14:anchorId="65BE9799" wp14:editId="5BCABD3E">
                  <wp:extent cx="1133475" cy="1057275"/>
                  <wp:effectExtent l="0" t="0" r="9525" b="9525"/>
                  <wp:docPr id="2" name="Рисунок 2" descr="D:\Презентации\Картинки для презентаций\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езентации\Картинки для презентаций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42A77" w:rsidRDefault="00E42A77" w:rsidP="00E42A77">
            <w:pPr>
              <w:ind w:firstLine="0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Додаток </w:t>
            </w:r>
          </w:p>
          <w:p w:rsidR="00E42A77" w:rsidRDefault="00E42A77" w:rsidP="00E42A77">
            <w:pPr>
              <w:ind w:firstLine="0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до рішення обласної ради</w:t>
            </w:r>
          </w:p>
          <w:p w:rsidR="00E42A77" w:rsidRDefault="00E42A77" w:rsidP="00E42A77">
            <w:pPr>
              <w:ind w:firstLine="0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від 21 грудня 2017 року</w:t>
            </w:r>
          </w:p>
          <w:p w:rsidR="00615883" w:rsidRPr="00615883" w:rsidRDefault="00E42A77" w:rsidP="00E42A77">
            <w:pPr>
              <w:ind w:firstLine="0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№ 576-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VII</w:t>
            </w:r>
            <w:bookmarkStart w:id="0" w:name="_GoBack"/>
            <w:bookmarkEnd w:id="0"/>
          </w:p>
        </w:tc>
      </w:tr>
    </w:tbl>
    <w:p w:rsidR="003027A1" w:rsidRPr="00D37A33" w:rsidRDefault="00982F32" w:rsidP="0043263F">
      <w:pPr>
        <w:ind w:firstLine="0"/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</w:pPr>
      <w:r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 xml:space="preserve">ПЛАН ЗАХОДІВ </w:t>
      </w:r>
      <w:r w:rsidR="003027A1"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>І</w:t>
      </w:r>
      <w:r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 xml:space="preserve">З РЕАЛІЗАЦІЇ </w:t>
      </w:r>
    </w:p>
    <w:p w:rsidR="00982F32" w:rsidRPr="00D37A33" w:rsidRDefault="003027A1" w:rsidP="0043263F">
      <w:pPr>
        <w:ind w:firstLine="0"/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</w:pPr>
      <w:r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>у 2018-2020 роках</w:t>
      </w:r>
    </w:p>
    <w:p w:rsidR="00982F32" w:rsidRPr="00D37A33" w:rsidRDefault="00982F32" w:rsidP="00D37A33">
      <w:pPr>
        <w:ind w:firstLine="0"/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</w:pPr>
      <w:r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>СТРАТЕ</w:t>
      </w:r>
      <w:r w:rsidR="00A370D5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>Г</w:t>
      </w:r>
      <w:r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 xml:space="preserve">ІЇ </w:t>
      </w:r>
      <w:r w:rsidR="003027A1"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>ЕКОНОМІЧНОГО ТА СОЦІАЛЬНОГО РОЗВИТКУ</w:t>
      </w:r>
      <w:r w:rsid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 xml:space="preserve"> </w:t>
      </w:r>
      <w:r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 xml:space="preserve">ОДЕСЬКОЇ ОБЛАСТІ </w:t>
      </w:r>
    </w:p>
    <w:p w:rsidR="00982F32" w:rsidRPr="00D37A33" w:rsidRDefault="003027A1" w:rsidP="0043263F">
      <w:pPr>
        <w:ind w:firstLine="0"/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</w:pPr>
      <w:r w:rsidRPr="00D37A33">
        <w:rPr>
          <w:rFonts w:asciiTheme="majorHAnsi" w:hAnsiTheme="majorHAnsi" w:cs="Times New Roman"/>
          <w:b/>
          <w:noProof/>
          <w:color w:val="FF0000"/>
          <w:sz w:val="44"/>
          <w:lang w:eastAsia="uk-UA"/>
        </w:rPr>
        <w:t>до 2020 року</w:t>
      </w:r>
    </w:p>
    <w:p w:rsidR="005C5857" w:rsidRPr="003027A1" w:rsidRDefault="00680337" w:rsidP="003027A1">
      <w:pPr>
        <w:ind w:firstLine="0"/>
        <w:rPr>
          <w:rFonts w:ascii="Times New Roman" w:hAnsi="Times New Roman" w:cs="Times New Roman"/>
          <w:b/>
          <w:noProof/>
          <w:sz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lang w:eastAsia="uk-UA"/>
        </w:rPr>
        <w:drawing>
          <wp:inline distT="0" distB="0" distL="0" distR="0" wp14:anchorId="46F2DB36" wp14:editId="6DD074FD">
            <wp:extent cx="6591300" cy="6048375"/>
            <wp:effectExtent l="38100" t="0" r="0" b="95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82F32" w:rsidRPr="00032B72" w:rsidRDefault="00665781" w:rsidP="00615883">
      <w:pPr>
        <w:rPr>
          <w:rFonts w:ascii="Times New Roman" w:hAnsi="Times New Roman" w:cs="Times New Roman"/>
          <w:b/>
          <w:sz w:val="28"/>
          <w:szCs w:val="28"/>
        </w:rPr>
      </w:pPr>
      <w:r w:rsidRPr="00032B72">
        <w:rPr>
          <w:rFonts w:ascii="Times New Roman" w:hAnsi="Times New Roman" w:cs="Times New Roman"/>
          <w:b/>
          <w:sz w:val="28"/>
          <w:szCs w:val="28"/>
        </w:rPr>
        <w:t>ОДЕСА 2017</w:t>
      </w:r>
      <w:r w:rsidR="00982F32" w:rsidRPr="00032B7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2F32" w:rsidRPr="00DF1BBA" w:rsidRDefault="00982F32" w:rsidP="00852F2D">
      <w:pPr>
        <w:ind w:firstLine="567"/>
        <w:rPr>
          <w:rFonts w:asciiTheme="majorHAnsi" w:hAnsiTheme="majorHAnsi" w:cs="Times New Roman"/>
          <w:b/>
          <w:color w:val="002060"/>
          <w:sz w:val="32"/>
          <w:szCs w:val="28"/>
        </w:rPr>
      </w:pPr>
      <w:r w:rsidRPr="00DF1BBA">
        <w:rPr>
          <w:rFonts w:asciiTheme="majorHAnsi" w:hAnsiTheme="majorHAnsi" w:cs="Times New Roman"/>
          <w:b/>
          <w:color w:val="002060"/>
          <w:sz w:val="32"/>
          <w:szCs w:val="28"/>
        </w:rPr>
        <w:lastRenderedPageBreak/>
        <w:t xml:space="preserve">І. Методологія та процес підготовки Плану заходів з реалізації </w:t>
      </w:r>
      <w:r w:rsidR="00032B72" w:rsidRPr="00DF1BBA">
        <w:rPr>
          <w:rFonts w:asciiTheme="majorHAnsi" w:hAnsiTheme="majorHAnsi" w:cs="Times New Roman"/>
          <w:b/>
          <w:color w:val="002060"/>
          <w:sz w:val="32"/>
          <w:szCs w:val="28"/>
        </w:rPr>
        <w:t>Стратегі</w:t>
      </w:r>
      <w:r w:rsidR="00D37A33">
        <w:rPr>
          <w:rFonts w:asciiTheme="majorHAnsi" w:hAnsiTheme="majorHAnsi" w:cs="Times New Roman"/>
          <w:b/>
          <w:color w:val="002060"/>
          <w:sz w:val="32"/>
          <w:szCs w:val="28"/>
        </w:rPr>
        <w:t>ї</w:t>
      </w:r>
      <w:r w:rsidR="00032B72" w:rsidRPr="00DF1BBA">
        <w:rPr>
          <w:rFonts w:asciiTheme="majorHAnsi" w:hAnsiTheme="majorHAnsi" w:cs="Times New Roman"/>
          <w:b/>
          <w:color w:val="002060"/>
          <w:sz w:val="32"/>
          <w:szCs w:val="28"/>
        </w:rPr>
        <w:t xml:space="preserve"> економічного і соціального розвитку Одеської області на період до 2020 року</w:t>
      </w:r>
    </w:p>
    <w:p w:rsidR="00982F32" w:rsidRPr="00032B72" w:rsidRDefault="00982F32" w:rsidP="00852F2D">
      <w:pPr>
        <w:pStyle w:val="Default"/>
        <w:ind w:firstLine="567"/>
        <w:jc w:val="both"/>
        <w:rPr>
          <w:sz w:val="28"/>
          <w:szCs w:val="28"/>
        </w:rPr>
      </w:pPr>
      <w:r w:rsidRPr="00032B72">
        <w:rPr>
          <w:sz w:val="28"/>
          <w:szCs w:val="28"/>
        </w:rPr>
        <w:t>Стратегія економічного і соціального розвитку Одеської області на період до 2020 року (далі – Страте</w:t>
      </w:r>
      <w:r w:rsidR="00B00A1E" w:rsidRPr="00032B72">
        <w:rPr>
          <w:sz w:val="28"/>
          <w:szCs w:val="28"/>
        </w:rPr>
        <w:t>г</w:t>
      </w:r>
      <w:r w:rsidRPr="00032B72">
        <w:rPr>
          <w:sz w:val="28"/>
          <w:szCs w:val="28"/>
        </w:rPr>
        <w:t>ія)</w:t>
      </w:r>
      <w:r w:rsidR="003D38E8" w:rsidRPr="00032B72">
        <w:rPr>
          <w:sz w:val="28"/>
          <w:szCs w:val="28"/>
        </w:rPr>
        <w:t xml:space="preserve"> була розроблена з урахуванням Стратегії сталого розвитку «Україна-2020»</w:t>
      </w:r>
      <w:r w:rsidR="00032B72">
        <w:rPr>
          <w:sz w:val="28"/>
          <w:szCs w:val="28"/>
        </w:rPr>
        <w:t>,</w:t>
      </w:r>
      <w:r w:rsidR="003D38E8" w:rsidRPr="00032B72">
        <w:rPr>
          <w:sz w:val="28"/>
          <w:szCs w:val="28"/>
        </w:rPr>
        <w:t xml:space="preserve"> Державної стратегії регіонального розвитку України на період до 2020 року</w:t>
      </w:r>
      <w:r w:rsidR="00032B72" w:rsidRPr="00032B72">
        <w:rPr>
          <w:sz w:val="28"/>
          <w:szCs w:val="28"/>
        </w:rPr>
        <w:t xml:space="preserve"> та затверджена рішенням </w:t>
      </w:r>
      <w:r w:rsidR="00032B72">
        <w:rPr>
          <w:sz w:val="28"/>
          <w:szCs w:val="28"/>
        </w:rPr>
        <w:t xml:space="preserve">обласної ради </w:t>
      </w:r>
      <w:r w:rsidR="00852F2D">
        <w:t xml:space="preserve"> </w:t>
      </w:r>
      <w:r w:rsidR="00852F2D">
        <w:rPr>
          <w:sz w:val="28"/>
          <w:szCs w:val="28"/>
        </w:rPr>
        <w:t>21.12.2015 № 32-VIІ</w:t>
      </w:r>
      <w:r w:rsidR="0038370F" w:rsidRPr="00032B72">
        <w:rPr>
          <w:sz w:val="28"/>
          <w:szCs w:val="28"/>
        </w:rPr>
        <w:t>.</w:t>
      </w:r>
    </w:p>
    <w:p w:rsidR="0038370F" w:rsidRPr="00032B72" w:rsidRDefault="0038370F" w:rsidP="00982F32">
      <w:pPr>
        <w:jc w:val="both"/>
        <w:rPr>
          <w:rFonts w:ascii="Times New Roman" w:hAnsi="Times New Roman" w:cs="Times New Roman"/>
          <w:sz w:val="28"/>
          <w:szCs w:val="28"/>
        </w:rPr>
      </w:pPr>
      <w:r w:rsidRPr="00032B72">
        <w:rPr>
          <w:rFonts w:ascii="Times New Roman" w:hAnsi="Times New Roman" w:cs="Times New Roman"/>
          <w:sz w:val="28"/>
          <w:szCs w:val="28"/>
        </w:rPr>
        <w:t>Стратегі</w:t>
      </w:r>
      <w:r w:rsidR="00852F2D">
        <w:rPr>
          <w:rFonts w:ascii="Times New Roman" w:hAnsi="Times New Roman" w:cs="Times New Roman"/>
          <w:sz w:val="28"/>
          <w:szCs w:val="28"/>
        </w:rPr>
        <w:t>я</w:t>
      </w:r>
      <w:r w:rsidRPr="00032B72">
        <w:rPr>
          <w:rFonts w:ascii="Times New Roman" w:hAnsi="Times New Roman" w:cs="Times New Roman"/>
          <w:sz w:val="28"/>
          <w:szCs w:val="28"/>
        </w:rPr>
        <w:t xml:space="preserve"> стала важливим інструментом налагодження партнерства між обласною державною адміністрацією, обласною радою, районними державними адміністраціями, міськими і районними радами, науковими інституціями, а також широким колом організацій громадянського суспільства для того, аби стратегічний документ став надбанням усіх зацікавлени</w:t>
      </w:r>
      <w:r w:rsidR="008D3619" w:rsidRPr="00032B72">
        <w:rPr>
          <w:rFonts w:ascii="Times New Roman" w:hAnsi="Times New Roman" w:cs="Times New Roman"/>
          <w:sz w:val="28"/>
          <w:szCs w:val="28"/>
        </w:rPr>
        <w:t>х сторін з метою забезпечення суспільної п</w:t>
      </w:r>
      <w:r w:rsidRPr="00032B72">
        <w:rPr>
          <w:rFonts w:ascii="Times New Roman" w:hAnsi="Times New Roman" w:cs="Times New Roman"/>
          <w:sz w:val="28"/>
          <w:szCs w:val="28"/>
        </w:rPr>
        <w:t>ідтримки реалізації заходів та проектів Стратегії.</w:t>
      </w:r>
    </w:p>
    <w:p w:rsidR="0038370F" w:rsidRPr="00032B72" w:rsidRDefault="0038370F" w:rsidP="00982F32">
      <w:pPr>
        <w:jc w:val="both"/>
        <w:rPr>
          <w:rFonts w:ascii="Times New Roman" w:hAnsi="Times New Roman" w:cs="Times New Roman"/>
          <w:sz w:val="28"/>
          <w:szCs w:val="28"/>
        </w:rPr>
      </w:pPr>
      <w:r w:rsidRPr="00032B72">
        <w:rPr>
          <w:rFonts w:ascii="Times New Roman" w:hAnsi="Times New Roman" w:cs="Times New Roman"/>
          <w:sz w:val="28"/>
          <w:szCs w:val="28"/>
        </w:rPr>
        <w:t>Стратегія враховує специфіку регіонального планування, особливості соціально-економічного розвитку регіону та спрямована на вирішення його сучасних проблем</w:t>
      </w:r>
      <w:r w:rsidR="008D3619" w:rsidRPr="00032B72">
        <w:rPr>
          <w:rFonts w:ascii="Times New Roman" w:hAnsi="Times New Roman" w:cs="Times New Roman"/>
          <w:sz w:val="28"/>
          <w:szCs w:val="28"/>
        </w:rPr>
        <w:t>.</w:t>
      </w:r>
    </w:p>
    <w:p w:rsidR="008D3619" w:rsidRPr="00032B72" w:rsidRDefault="008D3619" w:rsidP="00982F3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BBA">
        <w:rPr>
          <w:rFonts w:cstheme="minorHAnsi"/>
          <w:b/>
          <w:sz w:val="28"/>
          <w:szCs w:val="28"/>
          <w:u w:val="single" w:color="FF0000"/>
        </w:rPr>
        <w:t>Пріоритетним завданням</w:t>
      </w:r>
      <w:r w:rsidRPr="00032B72">
        <w:rPr>
          <w:rFonts w:ascii="Times New Roman" w:hAnsi="Times New Roman" w:cs="Times New Roman"/>
          <w:sz w:val="28"/>
          <w:szCs w:val="28"/>
        </w:rPr>
        <w:t xml:space="preserve"> стає пошук конкурентних переваг та можливостей області для ефективного їх використання та створення регіону, в якому гармонійного поєднуватимуться </w:t>
      </w:r>
      <w:r w:rsidRPr="00DF1BBA">
        <w:rPr>
          <w:rFonts w:cstheme="minorHAnsi"/>
          <w:i/>
          <w:color w:val="002060"/>
          <w:sz w:val="28"/>
          <w:szCs w:val="28"/>
          <w:u w:val="single" w:color="FF0000"/>
        </w:rPr>
        <w:t xml:space="preserve">високотехнологічна промисловість, розвинена транспортно-логістична інфраструктура та </w:t>
      </w:r>
      <w:proofErr w:type="spellStart"/>
      <w:r w:rsidRPr="00DF1BBA">
        <w:rPr>
          <w:rFonts w:cstheme="minorHAnsi"/>
          <w:i/>
          <w:color w:val="002060"/>
          <w:sz w:val="28"/>
          <w:szCs w:val="28"/>
          <w:u w:val="single" w:color="FF0000"/>
        </w:rPr>
        <w:t>морегосподарський</w:t>
      </w:r>
      <w:proofErr w:type="spellEnd"/>
      <w:r w:rsidRPr="00DF1BBA">
        <w:rPr>
          <w:rFonts w:cstheme="minorHAnsi"/>
          <w:i/>
          <w:color w:val="002060"/>
          <w:sz w:val="28"/>
          <w:szCs w:val="28"/>
          <w:u w:val="single" w:color="FF0000"/>
        </w:rPr>
        <w:t xml:space="preserve"> комплекс, екологічне сільське господарство, оздоровчий, історичний та діловий туризм, що дозволить досягнути високої якості життя та безпечного довкілля.</w:t>
      </w:r>
    </w:p>
    <w:p w:rsidR="008D3619" w:rsidRPr="00032B72" w:rsidRDefault="008D3619" w:rsidP="00982F32">
      <w:pPr>
        <w:jc w:val="both"/>
        <w:rPr>
          <w:rFonts w:ascii="Times New Roman" w:hAnsi="Times New Roman" w:cs="Times New Roman"/>
          <w:sz w:val="28"/>
          <w:szCs w:val="28"/>
        </w:rPr>
      </w:pPr>
      <w:r w:rsidRPr="00032B72">
        <w:rPr>
          <w:rFonts w:ascii="Times New Roman" w:hAnsi="Times New Roman" w:cs="Times New Roman"/>
          <w:sz w:val="28"/>
          <w:szCs w:val="28"/>
        </w:rPr>
        <w:t xml:space="preserve">Отже, Стратегія формує рамки для соціально-економічного розвитку Одеської області </w:t>
      </w:r>
      <w:r w:rsidR="00DE251B" w:rsidRPr="00032B72">
        <w:rPr>
          <w:rFonts w:ascii="Times New Roman" w:hAnsi="Times New Roman" w:cs="Times New Roman"/>
          <w:sz w:val="28"/>
          <w:szCs w:val="28"/>
        </w:rPr>
        <w:t>до</w:t>
      </w:r>
      <w:r w:rsidR="00693D32">
        <w:rPr>
          <w:rFonts w:ascii="Times New Roman" w:hAnsi="Times New Roman" w:cs="Times New Roman"/>
          <w:sz w:val="28"/>
          <w:szCs w:val="28"/>
        </w:rPr>
        <w:t xml:space="preserve"> </w:t>
      </w:r>
      <w:r w:rsidR="00DE251B" w:rsidRPr="00032B72">
        <w:rPr>
          <w:rFonts w:ascii="Times New Roman" w:hAnsi="Times New Roman" w:cs="Times New Roman"/>
          <w:sz w:val="28"/>
          <w:szCs w:val="28"/>
        </w:rPr>
        <w:t xml:space="preserve">2020 </w:t>
      </w:r>
      <w:r w:rsidR="005C5857" w:rsidRPr="00032B72">
        <w:rPr>
          <w:rFonts w:ascii="Times New Roman" w:hAnsi="Times New Roman" w:cs="Times New Roman"/>
          <w:sz w:val="28"/>
          <w:szCs w:val="28"/>
        </w:rPr>
        <w:t>року</w:t>
      </w:r>
      <w:r w:rsidR="00DE251B" w:rsidRPr="00032B72">
        <w:rPr>
          <w:rFonts w:ascii="Times New Roman" w:hAnsi="Times New Roman" w:cs="Times New Roman"/>
          <w:sz w:val="28"/>
          <w:szCs w:val="28"/>
        </w:rPr>
        <w:t>,</w:t>
      </w:r>
      <w:r w:rsidR="007D206C" w:rsidRPr="00032B72">
        <w:rPr>
          <w:rFonts w:ascii="Times New Roman" w:hAnsi="Times New Roman" w:cs="Times New Roman"/>
          <w:sz w:val="28"/>
          <w:szCs w:val="28"/>
        </w:rPr>
        <w:t xml:space="preserve"> спрямовуючи зусилля на досягнення наступного стратегічного бачення та місії:</w:t>
      </w:r>
    </w:p>
    <w:p w:rsidR="007D206C" w:rsidRPr="00032B72" w:rsidRDefault="007D206C" w:rsidP="00F512A4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2B7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CC3512F" wp14:editId="5C0E538F">
            <wp:extent cx="6505575" cy="3381375"/>
            <wp:effectExtent l="76200" t="0" r="28575" b="952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473D0E" w:rsidRPr="00032B72" w:rsidRDefault="00473D0E" w:rsidP="00721252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r w:rsidRPr="00032B72">
        <w:rPr>
          <w:sz w:val="28"/>
          <w:szCs w:val="28"/>
          <w:lang w:val="uk-UA" w:eastAsia="uk-UA"/>
        </w:rPr>
        <w:t xml:space="preserve">Реалізація Стратегії </w:t>
      </w:r>
      <w:r w:rsidRPr="00032B72">
        <w:rPr>
          <w:rFonts w:eastAsia="Calibri"/>
          <w:sz w:val="28"/>
          <w:szCs w:val="28"/>
          <w:lang w:val="uk-UA"/>
        </w:rPr>
        <w:t>економічного і соціального розвитку Одеської області на період до 2020 року, I,</w:t>
      </w:r>
      <w:r w:rsidRPr="00032B72">
        <w:rPr>
          <w:sz w:val="28"/>
          <w:szCs w:val="28"/>
          <w:lang w:val="uk-UA" w:eastAsia="uk-UA"/>
        </w:rPr>
        <w:t xml:space="preserve"> відбувається у 2 етапи: перший – 2016-2017 роки, другий – </w:t>
      </w:r>
      <w:r w:rsidRPr="00032B72">
        <w:rPr>
          <w:sz w:val="28"/>
          <w:szCs w:val="28"/>
          <w:lang w:val="uk-UA" w:eastAsia="uk-UA"/>
        </w:rPr>
        <w:lastRenderedPageBreak/>
        <w:t xml:space="preserve">2018-2020 роки. </w:t>
      </w:r>
      <w:r w:rsidRPr="00032B72">
        <w:rPr>
          <w:rFonts w:eastAsia="Calibri"/>
          <w:sz w:val="28"/>
          <w:szCs w:val="28"/>
          <w:lang w:val="uk-UA"/>
        </w:rPr>
        <w:t>План заходів з реалізації у 2016-2017 роках Стратегії розвитку Одеської області на період до 2020 року</w:t>
      </w:r>
      <w:r w:rsidR="004A5F87" w:rsidRPr="00032B72">
        <w:rPr>
          <w:rFonts w:eastAsia="Calibri"/>
          <w:sz w:val="28"/>
          <w:szCs w:val="28"/>
          <w:lang w:val="uk-UA"/>
        </w:rPr>
        <w:t xml:space="preserve">, затверджений рішенням обласної ради від </w:t>
      </w:r>
      <w:r w:rsidR="00721252" w:rsidRPr="00032B72">
        <w:rPr>
          <w:sz w:val="28"/>
          <w:szCs w:val="28"/>
          <w:lang w:val="uk-UA"/>
        </w:rPr>
        <w:t>20 жовтня 2016 року № 227</w:t>
      </w:r>
      <w:r w:rsidR="00693D32">
        <w:rPr>
          <w:sz w:val="28"/>
          <w:szCs w:val="28"/>
          <w:lang w:val="uk-UA"/>
        </w:rPr>
        <w:t>-</w:t>
      </w:r>
      <w:r w:rsidR="00721252" w:rsidRPr="00032B72">
        <w:rPr>
          <w:sz w:val="28"/>
          <w:szCs w:val="28"/>
          <w:lang w:val="uk-UA"/>
        </w:rPr>
        <w:t>VII,</w:t>
      </w:r>
      <w:r w:rsidR="00721252" w:rsidRPr="00032B72">
        <w:rPr>
          <w:rFonts w:eastAsia="Calibri"/>
          <w:sz w:val="28"/>
          <w:szCs w:val="28"/>
          <w:lang w:val="uk-UA"/>
        </w:rPr>
        <w:t xml:space="preserve"> </w:t>
      </w:r>
      <w:r w:rsidRPr="00032B72">
        <w:rPr>
          <w:rFonts w:eastAsia="Calibri"/>
          <w:sz w:val="28"/>
          <w:szCs w:val="28"/>
          <w:lang w:val="uk-UA"/>
        </w:rPr>
        <w:t>передбачав близько 1,5 тис. заходів з реалізації поставлених стратегічних цілей. Другий етап, передбачений у Плані заходів з реалізації у 2018-2020 роках Стратегії розвитку Одеської області на період до 2020 року (далі – План заходів)</w:t>
      </w:r>
      <w:r w:rsidR="00721252" w:rsidRPr="00032B72">
        <w:rPr>
          <w:rFonts w:eastAsia="Calibri"/>
          <w:sz w:val="28"/>
          <w:szCs w:val="28"/>
          <w:lang w:val="uk-UA"/>
        </w:rPr>
        <w:t>,</w:t>
      </w:r>
      <w:r w:rsidRPr="00032B72">
        <w:rPr>
          <w:rFonts w:eastAsia="Calibri"/>
          <w:sz w:val="28"/>
          <w:szCs w:val="28"/>
          <w:lang w:val="uk-UA"/>
        </w:rPr>
        <w:t xml:space="preserve"> представляє механізм реалізації стратегічних цілей та передбачає близько 800 проектів</w:t>
      </w:r>
      <w:r w:rsidRPr="00032B72">
        <w:rPr>
          <w:rFonts w:eastAsia="Calibri"/>
          <w:color w:val="000000" w:themeColor="text1"/>
          <w:sz w:val="28"/>
          <w:szCs w:val="28"/>
          <w:lang w:val="uk-UA"/>
        </w:rPr>
        <w:t>.</w:t>
      </w:r>
    </w:p>
    <w:p w:rsidR="003C190E" w:rsidRPr="00032B72" w:rsidRDefault="003C190E" w:rsidP="00721252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 w:eastAsia="uk-UA"/>
        </w:rPr>
      </w:pPr>
      <w:r w:rsidRPr="00032B72">
        <w:rPr>
          <w:sz w:val="28"/>
          <w:szCs w:val="28"/>
          <w:lang w:val="uk-UA" w:eastAsia="uk-UA"/>
        </w:rPr>
        <w:t xml:space="preserve">План заходів </w:t>
      </w:r>
      <w:r w:rsidR="00B83ABE" w:rsidRPr="00032B72">
        <w:rPr>
          <w:sz w:val="28"/>
          <w:szCs w:val="28"/>
          <w:lang w:val="uk-UA" w:eastAsia="uk-UA"/>
        </w:rPr>
        <w:t>з реалізації Стратегії є документом середньострокового планув</w:t>
      </w:r>
      <w:r w:rsidR="00C56948" w:rsidRPr="00032B72">
        <w:rPr>
          <w:sz w:val="28"/>
          <w:szCs w:val="28"/>
          <w:lang w:val="uk-UA" w:eastAsia="uk-UA"/>
        </w:rPr>
        <w:t>ання</w:t>
      </w:r>
      <w:r w:rsidR="00721252" w:rsidRPr="00032B72">
        <w:rPr>
          <w:sz w:val="28"/>
          <w:szCs w:val="28"/>
          <w:lang w:val="uk-UA" w:eastAsia="uk-UA"/>
        </w:rPr>
        <w:t xml:space="preserve"> та розробляється згідно з </w:t>
      </w:r>
      <w:r w:rsidR="00852F2D">
        <w:rPr>
          <w:sz w:val="28"/>
          <w:szCs w:val="28"/>
          <w:lang w:val="uk-UA" w:eastAsia="uk-UA"/>
        </w:rPr>
        <w:t>п</w:t>
      </w:r>
      <w:r w:rsidR="00721252" w:rsidRPr="00032B72">
        <w:rPr>
          <w:sz w:val="28"/>
          <w:szCs w:val="28"/>
          <w:lang w:val="uk-UA" w:eastAsia="uk-UA"/>
        </w:rPr>
        <w:t>остановою Кабінету Міністрів України від 11</w:t>
      </w:r>
      <w:r w:rsidR="00852F2D">
        <w:rPr>
          <w:sz w:val="28"/>
          <w:szCs w:val="28"/>
          <w:lang w:val="uk-UA" w:eastAsia="uk-UA"/>
        </w:rPr>
        <w:t>.11.</w:t>
      </w:r>
      <w:r w:rsidR="00721252" w:rsidRPr="00032B72">
        <w:rPr>
          <w:sz w:val="28"/>
          <w:szCs w:val="28"/>
          <w:lang w:val="uk-UA" w:eastAsia="uk-UA"/>
        </w:rPr>
        <w:t xml:space="preserve">2015 </w:t>
      </w:r>
      <w:r w:rsidR="00852F2D">
        <w:rPr>
          <w:sz w:val="28"/>
          <w:szCs w:val="28"/>
          <w:lang w:val="uk-UA" w:eastAsia="uk-UA"/>
        </w:rPr>
        <w:t>№</w:t>
      </w:r>
      <w:r w:rsidR="00721252" w:rsidRPr="00032B72">
        <w:rPr>
          <w:sz w:val="28"/>
          <w:szCs w:val="28"/>
          <w:lang w:val="uk-UA" w:eastAsia="uk-UA"/>
        </w:rPr>
        <w:t>932 «Про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заходів»</w:t>
      </w:r>
    </w:p>
    <w:p w:rsidR="007377CF" w:rsidRPr="00032B72" w:rsidRDefault="007377CF">
      <w:pPr>
        <w:jc w:val="both"/>
        <w:rPr>
          <w:rFonts w:ascii="Times New Roman" w:hAnsi="Times New Roman" w:cs="Times New Roman"/>
          <w:sz w:val="28"/>
          <w:szCs w:val="28"/>
        </w:rPr>
      </w:pPr>
      <w:r w:rsidRPr="00032B72">
        <w:rPr>
          <w:rFonts w:ascii="Times New Roman" w:hAnsi="Times New Roman" w:cs="Times New Roman"/>
          <w:sz w:val="28"/>
          <w:szCs w:val="28"/>
        </w:rPr>
        <w:t xml:space="preserve">Формування Плану реалізації Стратегії спиралось на вивчення можливих джерел фінансування та реальність залучення для його виконання необхідних ресурсів: державний та місцеві бюджети, донорські проекти міжнародної технічної допомоги, приватні інвестиції. Реалізація Плану поширюється на всі </w:t>
      </w:r>
      <w:r w:rsidR="00852F2D">
        <w:rPr>
          <w:rFonts w:ascii="Times New Roman" w:hAnsi="Times New Roman" w:cs="Times New Roman"/>
          <w:sz w:val="28"/>
          <w:szCs w:val="28"/>
        </w:rPr>
        <w:t>райони та міста</w:t>
      </w:r>
      <w:r w:rsidRPr="00032B72">
        <w:rPr>
          <w:rFonts w:ascii="Times New Roman" w:hAnsi="Times New Roman" w:cs="Times New Roman"/>
          <w:sz w:val="28"/>
          <w:szCs w:val="28"/>
        </w:rPr>
        <w:t xml:space="preserve"> Одеської області, враховуюч</w:t>
      </w:r>
      <w:r w:rsidR="00852F2D">
        <w:rPr>
          <w:rFonts w:ascii="Times New Roman" w:hAnsi="Times New Roman" w:cs="Times New Roman"/>
          <w:sz w:val="28"/>
          <w:szCs w:val="28"/>
        </w:rPr>
        <w:t>и</w:t>
      </w:r>
      <w:r w:rsidRPr="00032B72">
        <w:rPr>
          <w:rFonts w:ascii="Times New Roman" w:hAnsi="Times New Roman" w:cs="Times New Roman"/>
          <w:sz w:val="28"/>
          <w:szCs w:val="28"/>
        </w:rPr>
        <w:t xml:space="preserve"> новостворені об’єднані територіальні громади. Це має призводити до зменшення </w:t>
      </w:r>
      <w:proofErr w:type="spellStart"/>
      <w:r w:rsidRPr="00032B72">
        <w:rPr>
          <w:rFonts w:ascii="Times New Roman" w:hAnsi="Times New Roman" w:cs="Times New Roman"/>
          <w:sz w:val="28"/>
          <w:szCs w:val="28"/>
        </w:rPr>
        <w:t>дисбалансів</w:t>
      </w:r>
      <w:proofErr w:type="spellEnd"/>
      <w:r w:rsidRPr="00032B72">
        <w:rPr>
          <w:rFonts w:ascii="Times New Roman" w:hAnsi="Times New Roman" w:cs="Times New Roman"/>
          <w:sz w:val="28"/>
          <w:szCs w:val="28"/>
        </w:rPr>
        <w:t xml:space="preserve"> розвитку між окремими адміністративно-територіальними одиницями Одеської області.</w:t>
      </w:r>
    </w:p>
    <w:p w:rsidR="00FA57BD" w:rsidRPr="00032B72" w:rsidRDefault="00FA57B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2B72">
        <w:rPr>
          <w:rFonts w:ascii="Times New Roman" w:hAnsi="Times New Roman" w:cs="Times New Roman"/>
          <w:sz w:val="28"/>
          <w:szCs w:val="28"/>
        </w:rPr>
        <w:t>При підготовці</w:t>
      </w:r>
      <w:r w:rsidR="00C56948" w:rsidRPr="00032B72">
        <w:rPr>
          <w:rFonts w:ascii="Times New Roman" w:hAnsi="Times New Roman" w:cs="Times New Roman"/>
          <w:sz w:val="28"/>
          <w:szCs w:val="28"/>
        </w:rPr>
        <w:t xml:space="preserve"> Плану </w:t>
      </w:r>
      <w:r w:rsidR="00852F2D" w:rsidRPr="00032B72">
        <w:rPr>
          <w:rFonts w:ascii="Times New Roman" w:hAnsi="Times New Roman" w:cs="Times New Roman"/>
          <w:sz w:val="28"/>
          <w:szCs w:val="28"/>
        </w:rPr>
        <w:t>реалізаці</w:t>
      </w:r>
      <w:r w:rsidR="00852F2D">
        <w:rPr>
          <w:rFonts w:ascii="Times New Roman" w:hAnsi="Times New Roman" w:cs="Times New Roman"/>
          <w:sz w:val="28"/>
          <w:szCs w:val="28"/>
        </w:rPr>
        <w:t>ї</w:t>
      </w:r>
      <w:r w:rsidR="00C56948" w:rsidRPr="00032B72">
        <w:rPr>
          <w:rFonts w:ascii="Times New Roman" w:hAnsi="Times New Roman" w:cs="Times New Roman"/>
          <w:sz w:val="28"/>
          <w:szCs w:val="28"/>
        </w:rPr>
        <w:t xml:space="preserve"> Стратегії були враховані</w:t>
      </w:r>
      <w:r w:rsidRPr="00032B72">
        <w:rPr>
          <w:rFonts w:ascii="Times New Roman" w:hAnsi="Times New Roman" w:cs="Times New Roman"/>
          <w:sz w:val="28"/>
          <w:szCs w:val="28"/>
        </w:rPr>
        <w:t xml:space="preserve"> наступні</w:t>
      </w:r>
      <w:r w:rsidRPr="00032B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5CB8">
        <w:rPr>
          <w:rFonts w:cstheme="minorHAnsi"/>
          <w:b/>
          <w:i/>
          <w:sz w:val="28"/>
          <w:szCs w:val="28"/>
          <w:u w:val="single" w:color="FF0000"/>
        </w:rPr>
        <w:t>фактори:</w:t>
      </w:r>
    </w:p>
    <w:p w:rsidR="00FA57BD" w:rsidRPr="008006FF" w:rsidRDefault="007D5CB8" w:rsidP="00852F2D">
      <w:pPr>
        <w:pStyle w:val="ac"/>
        <w:numPr>
          <w:ilvl w:val="0"/>
          <w:numId w:val="2"/>
        </w:numPr>
        <w:tabs>
          <w:tab w:val="left" w:pos="1134"/>
        </w:tabs>
        <w:ind w:left="0" w:firstLine="680"/>
        <w:jc w:val="both"/>
        <w:rPr>
          <w:rFonts w:ascii="Arial Narrow" w:hAnsi="Arial Narrow" w:cs="Times New Roman"/>
          <w:i/>
          <w:sz w:val="28"/>
          <w:szCs w:val="28"/>
        </w:rPr>
      </w:pPr>
      <w:r w:rsidRPr="008006FF">
        <w:rPr>
          <w:rFonts w:ascii="Arial Narrow" w:hAnsi="Arial Narrow" w:cs="Times New Roman"/>
          <w:i/>
          <w:sz w:val="28"/>
          <w:szCs w:val="28"/>
        </w:rPr>
        <w:t>в</w:t>
      </w:r>
      <w:r w:rsidR="00FA57BD" w:rsidRPr="008006FF">
        <w:rPr>
          <w:rFonts w:ascii="Arial Narrow" w:hAnsi="Arial Narrow" w:cs="Times New Roman"/>
          <w:i/>
          <w:sz w:val="28"/>
          <w:szCs w:val="28"/>
        </w:rPr>
        <w:t>изначення найбільш важливих проблем розвитку області, які можуть бути вирішені на регіональному рівні, виходячи з повноважень обласних органів виконавчої влади, органів місцевого самоврядування та ресурсів, які для цього можуть бути за</w:t>
      </w:r>
      <w:r w:rsidRPr="008006FF">
        <w:rPr>
          <w:rFonts w:ascii="Arial Narrow" w:hAnsi="Arial Narrow" w:cs="Times New Roman"/>
          <w:i/>
          <w:sz w:val="28"/>
          <w:szCs w:val="28"/>
        </w:rPr>
        <w:t>лучення;</w:t>
      </w:r>
    </w:p>
    <w:p w:rsidR="00FA57BD" w:rsidRPr="008006FF" w:rsidRDefault="007D5CB8" w:rsidP="00852F2D">
      <w:pPr>
        <w:pStyle w:val="ac"/>
        <w:numPr>
          <w:ilvl w:val="0"/>
          <w:numId w:val="2"/>
        </w:numPr>
        <w:tabs>
          <w:tab w:val="left" w:pos="1134"/>
        </w:tabs>
        <w:ind w:left="0" w:firstLine="680"/>
        <w:jc w:val="both"/>
        <w:rPr>
          <w:rFonts w:ascii="Arial Narrow" w:hAnsi="Arial Narrow" w:cs="Times New Roman"/>
          <w:i/>
          <w:sz w:val="28"/>
          <w:szCs w:val="28"/>
        </w:rPr>
      </w:pPr>
      <w:r w:rsidRPr="008006FF">
        <w:rPr>
          <w:rFonts w:ascii="Arial Narrow" w:hAnsi="Arial Narrow" w:cs="Times New Roman"/>
          <w:i/>
          <w:sz w:val="28"/>
          <w:szCs w:val="28"/>
        </w:rPr>
        <w:t>в</w:t>
      </w:r>
      <w:r w:rsidR="00FA57BD" w:rsidRPr="008006FF">
        <w:rPr>
          <w:rFonts w:ascii="Arial Narrow" w:hAnsi="Arial Narrow" w:cs="Times New Roman"/>
          <w:i/>
          <w:sz w:val="28"/>
          <w:szCs w:val="28"/>
        </w:rPr>
        <w:t>ідповідність програм і проектів регіонального розвитку, включених до Плану заходів з реалізації Стратегії, ст</w:t>
      </w:r>
      <w:r w:rsidRPr="008006FF">
        <w:rPr>
          <w:rFonts w:ascii="Arial Narrow" w:hAnsi="Arial Narrow" w:cs="Times New Roman"/>
          <w:i/>
          <w:sz w:val="28"/>
          <w:szCs w:val="28"/>
        </w:rPr>
        <w:t>ратегічним та операційним цілям;</w:t>
      </w:r>
    </w:p>
    <w:p w:rsidR="00FA57BD" w:rsidRPr="008006FF" w:rsidRDefault="007D5CB8" w:rsidP="00852F2D">
      <w:pPr>
        <w:pStyle w:val="ac"/>
        <w:numPr>
          <w:ilvl w:val="0"/>
          <w:numId w:val="2"/>
        </w:numPr>
        <w:tabs>
          <w:tab w:val="left" w:pos="1134"/>
        </w:tabs>
        <w:ind w:left="0" w:firstLine="680"/>
        <w:jc w:val="both"/>
        <w:rPr>
          <w:rFonts w:ascii="Arial Narrow" w:hAnsi="Arial Narrow" w:cs="Times New Roman"/>
          <w:i/>
          <w:sz w:val="28"/>
          <w:szCs w:val="28"/>
        </w:rPr>
      </w:pPr>
      <w:r w:rsidRPr="008006FF">
        <w:rPr>
          <w:rFonts w:ascii="Arial Narrow" w:hAnsi="Arial Narrow" w:cs="Times New Roman"/>
          <w:i/>
          <w:sz w:val="28"/>
          <w:szCs w:val="28"/>
        </w:rPr>
        <w:t>д</w:t>
      </w:r>
      <w:r w:rsidR="00385024" w:rsidRPr="008006FF">
        <w:rPr>
          <w:rFonts w:ascii="Arial Narrow" w:hAnsi="Arial Narrow" w:cs="Times New Roman"/>
          <w:i/>
          <w:sz w:val="28"/>
          <w:szCs w:val="28"/>
        </w:rPr>
        <w:t>ецентралізація влади та реформування місцевого самоврядування.</w:t>
      </w:r>
    </w:p>
    <w:p w:rsidR="00385024" w:rsidRPr="007D5CB8" w:rsidRDefault="00385024" w:rsidP="00721252">
      <w:pPr>
        <w:tabs>
          <w:tab w:val="left" w:pos="993"/>
        </w:tabs>
        <w:jc w:val="both"/>
        <w:rPr>
          <w:rFonts w:ascii="Arial Narrow" w:hAnsi="Arial Narrow" w:cs="Times New Roman"/>
          <w:color w:val="002060"/>
          <w:sz w:val="28"/>
          <w:szCs w:val="28"/>
        </w:rPr>
      </w:pPr>
      <w:r w:rsidRPr="007D5CB8">
        <w:rPr>
          <w:rFonts w:ascii="Arial Narrow" w:hAnsi="Arial Narrow" w:cs="Times New Roman"/>
          <w:color w:val="002060"/>
          <w:sz w:val="28"/>
          <w:szCs w:val="28"/>
        </w:rPr>
        <w:t>Ключов</w:t>
      </w:r>
      <w:r w:rsidR="00721252" w:rsidRPr="007D5CB8">
        <w:rPr>
          <w:rFonts w:ascii="Arial Narrow" w:hAnsi="Arial Narrow" w:cs="Times New Roman"/>
          <w:color w:val="002060"/>
          <w:sz w:val="28"/>
          <w:szCs w:val="28"/>
        </w:rPr>
        <w:t>і</w:t>
      </w:r>
      <w:r w:rsidRPr="007D5CB8">
        <w:rPr>
          <w:rFonts w:ascii="Arial Narrow" w:hAnsi="Arial Narrow" w:cs="Times New Roman"/>
          <w:color w:val="002060"/>
          <w:sz w:val="28"/>
          <w:szCs w:val="28"/>
        </w:rPr>
        <w:t xml:space="preserve"> </w:t>
      </w:r>
      <w:r w:rsidRPr="007D5CB8">
        <w:rPr>
          <w:rFonts w:ascii="Arial Narrow" w:hAnsi="Arial Narrow" w:cs="Times New Roman"/>
          <w:b/>
          <w:i/>
          <w:color w:val="002060"/>
          <w:sz w:val="28"/>
          <w:szCs w:val="28"/>
        </w:rPr>
        <w:t>принцип</w:t>
      </w:r>
      <w:r w:rsidR="00721252" w:rsidRPr="007D5CB8">
        <w:rPr>
          <w:rFonts w:ascii="Arial Narrow" w:hAnsi="Arial Narrow" w:cs="Times New Roman"/>
          <w:b/>
          <w:i/>
          <w:color w:val="002060"/>
          <w:sz w:val="28"/>
          <w:szCs w:val="28"/>
        </w:rPr>
        <w:t xml:space="preserve">и </w:t>
      </w:r>
      <w:r w:rsidRPr="007D5CB8">
        <w:rPr>
          <w:rFonts w:ascii="Arial Narrow" w:hAnsi="Arial Narrow" w:cs="Times New Roman"/>
          <w:color w:val="002060"/>
          <w:sz w:val="28"/>
          <w:szCs w:val="28"/>
        </w:rPr>
        <w:t>розробки Плану заходів:</w:t>
      </w:r>
    </w:p>
    <w:p w:rsidR="00385024" w:rsidRPr="00032B72" w:rsidRDefault="00385024" w:rsidP="00721252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</w:pPr>
      <w:r w:rsidRPr="007D5CB8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Партнерство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– узгодженість спільних цілей шляхом консультацій представників влади, ділових кіл, освітніх установ, організацій громадянського суспільства та інших відповідних зацікавлених сторін.</w:t>
      </w:r>
    </w:p>
    <w:p w:rsidR="00385024" w:rsidRPr="00032B72" w:rsidRDefault="00385024" w:rsidP="00721252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</w:pPr>
      <w:r w:rsidRPr="007D5CB8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Спільн</w:t>
      </w:r>
      <w:r w:rsidR="00721252" w:rsidRPr="007D5CB8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а</w:t>
      </w:r>
      <w:r w:rsidRPr="007D5CB8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 xml:space="preserve"> участь та зацікавленість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–</w:t>
      </w:r>
      <w:r w:rsidR="0072125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громадськ</w:t>
      </w:r>
      <w:r w:rsidR="0072125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а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підтримк</w:t>
      </w:r>
      <w:r w:rsidR="0072125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а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, зацікавлен</w:t>
      </w:r>
      <w:r w:rsidR="00032B7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ість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діяти в напрямку спільних цілей, взаємн</w:t>
      </w:r>
      <w:r w:rsidR="0072125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а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довір</w:t>
      </w:r>
      <w:r w:rsidR="0072125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а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, спільн</w:t>
      </w:r>
      <w:r w:rsidR="0072125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а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</w:t>
      </w:r>
      <w:r w:rsidR="00693D3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відповідальність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і </w:t>
      </w:r>
      <w:r w:rsidR="00693D3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підзвітність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, а також захист від спроб окремих суб’єктів розвитку задовольнити лише власні інтереси.</w:t>
      </w:r>
    </w:p>
    <w:p w:rsidR="00385024" w:rsidRPr="00032B72" w:rsidRDefault="00385024" w:rsidP="00721252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</w:pPr>
      <w:r w:rsidRPr="007D5CB8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Сталість</w:t>
      </w:r>
      <w:r w:rsidRPr="00032B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sr-Latn-BA"/>
        </w:rPr>
        <w:t xml:space="preserve"> 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–</w:t>
      </w:r>
      <w:r w:rsidR="00693D3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баланс і узгодженість стратегічних і операційних елементів (цілей, заходів, програм).</w:t>
      </w:r>
    </w:p>
    <w:p w:rsidR="00385024" w:rsidRPr="00032B72" w:rsidRDefault="00385024" w:rsidP="00721252">
      <w:pPr>
        <w:widowControl w:val="0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</w:pPr>
      <w:r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Інтеграці</w:t>
      </w:r>
      <w:r w:rsidR="00032B72"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я</w:t>
      </w:r>
      <w:r w:rsidRPr="00032B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sr-Latn-BA"/>
        </w:rPr>
        <w:t xml:space="preserve"> 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– досягнення широкої участі усіх зацікавлених сторін та забезпеченню їх потреб на регіональному рівні через розробку спільних заходів.</w:t>
      </w:r>
    </w:p>
    <w:p w:rsidR="00385024" w:rsidRPr="00032B72" w:rsidRDefault="00385024" w:rsidP="00721252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Інноваці</w:t>
      </w:r>
      <w:r w:rsidR="00032B72"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я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– визначення оптимальних і оригінальних дій у вигляді проектів з метою максимально ефективного використання наявних ресурсів.</w:t>
      </w:r>
    </w:p>
    <w:p w:rsidR="00385024" w:rsidRPr="00032B72" w:rsidRDefault="00032B72" w:rsidP="00721252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Узгодженість, ієрархія</w:t>
      </w:r>
      <w:r w:rsidR="00385024"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 xml:space="preserve"> та взаємопов’язаність</w:t>
      </w:r>
      <w:r w:rsidR="00385024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– передбачення у планувальних документах нижчого рівня узгодженості з планами вищого рівня з 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більшою</w:t>
      </w:r>
      <w:r w:rsidR="00385024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конкретизаці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єю.</w:t>
      </w:r>
      <w:r w:rsidR="00385024" w:rsidRPr="00032B72">
        <w:rPr>
          <w:rFonts w:ascii="Times New Roman" w:eastAsia="Times New Roman" w:hAnsi="Times New Roman" w:cs="Times New Roman"/>
          <w:sz w:val="24"/>
          <w:lang w:eastAsia="uk-UA"/>
        </w:rPr>
        <w:t>.</w:t>
      </w:r>
    </w:p>
    <w:p w:rsidR="00385024" w:rsidRPr="00032B72" w:rsidRDefault="00385024" w:rsidP="00721252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</w:pPr>
      <w:r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Паритетність</w:t>
      </w:r>
      <w:r w:rsidRPr="00032B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sr-Latn-BA"/>
        </w:rPr>
        <w:t xml:space="preserve"> 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– забезпечення рівних можливостей доступу об’єктів регіональної політики до ресурсів державної фінансової підтримки регіонального розвитку.</w:t>
      </w:r>
    </w:p>
    <w:p w:rsidR="00385024" w:rsidRPr="00032B72" w:rsidRDefault="00385024" w:rsidP="00721252">
      <w:pPr>
        <w:widowControl w:val="0"/>
        <w:numPr>
          <w:ilvl w:val="0"/>
          <w:numId w:val="4"/>
        </w:numPr>
        <w:tabs>
          <w:tab w:val="num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sr-Latn-BA"/>
        </w:rPr>
      </w:pPr>
      <w:bookmarkStart w:id="1" w:name="n24"/>
      <w:bookmarkStart w:id="2" w:name="n25"/>
      <w:bookmarkEnd w:id="1"/>
      <w:bookmarkEnd w:id="2"/>
      <w:proofErr w:type="spellStart"/>
      <w:r w:rsidRPr="008006FF">
        <w:rPr>
          <w:rFonts w:ascii="Arial Narrow" w:eastAsia="Times New Roman" w:hAnsi="Arial Narrow" w:cs="Times New Roman"/>
          <w:b/>
          <w:i/>
          <w:iCs/>
          <w:sz w:val="24"/>
          <w:szCs w:val="24"/>
          <w:u w:val="single" w:color="FF0000"/>
          <w:lang w:eastAsia="sr-Latn-BA"/>
        </w:rPr>
        <w:t>Субсидіарність</w:t>
      </w:r>
      <w:proofErr w:type="spellEnd"/>
      <w:r w:rsidRPr="00032B7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sr-Latn-BA"/>
        </w:rPr>
        <w:t xml:space="preserve"> 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– передач</w:t>
      </w:r>
      <w:r w:rsidR="00032B72"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>а</w:t>
      </w:r>
      <w:r w:rsidRPr="00032B72">
        <w:rPr>
          <w:rFonts w:ascii="Times New Roman" w:eastAsia="Times New Roman" w:hAnsi="Times New Roman" w:cs="Times New Roman"/>
          <w:i/>
          <w:iCs/>
          <w:sz w:val="24"/>
          <w:szCs w:val="24"/>
          <w:lang w:eastAsia="sr-Latn-BA"/>
        </w:rPr>
        <w:t xml:space="preserve"> владних повноважень на найнижчий рівень управління для найбільш ефективної реалізації.</w:t>
      </w:r>
    </w:p>
    <w:p w:rsidR="008006FF" w:rsidRDefault="008006FF">
      <w:pPr>
        <w:rPr>
          <w:rFonts w:ascii="Times New Roman" w:eastAsia="Times New Roman" w:hAnsi="Times New Roman" w:cs="Times New Roman"/>
          <w:b/>
          <w:i/>
          <w:iCs/>
          <w:sz w:val="20"/>
          <w:szCs w:val="24"/>
          <w:lang w:eastAsia="sr-Latn-BA"/>
        </w:rPr>
      </w:pPr>
      <w:r>
        <w:rPr>
          <w:rFonts w:ascii="Times New Roman" w:eastAsia="Times New Roman" w:hAnsi="Times New Roman" w:cs="Times New Roman"/>
          <w:b/>
          <w:i/>
          <w:iCs/>
          <w:sz w:val="20"/>
          <w:szCs w:val="24"/>
          <w:lang w:eastAsia="sr-Latn-BA"/>
        </w:rPr>
        <w:br w:type="page"/>
      </w:r>
    </w:p>
    <w:p w:rsidR="00385024" w:rsidRPr="008006FF" w:rsidRDefault="00D6035F" w:rsidP="00D6035F">
      <w:pPr>
        <w:rPr>
          <w:rFonts w:asciiTheme="majorHAnsi" w:hAnsiTheme="majorHAnsi" w:cs="Times New Roman"/>
          <w:b/>
          <w:color w:val="002060"/>
          <w:sz w:val="32"/>
          <w:szCs w:val="28"/>
        </w:rPr>
      </w:pPr>
      <w:r w:rsidRPr="008006FF">
        <w:rPr>
          <w:rFonts w:asciiTheme="majorHAnsi" w:hAnsiTheme="majorHAnsi" w:cs="Times New Roman"/>
          <w:b/>
          <w:color w:val="002060"/>
          <w:sz w:val="32"/>
          <w:szCs w:val="28"/>
        </w:rPr>
        <w:lastRenderedPageBreak/>
        <w:t>ІІ. Структура стратегічних, операційних цілей та завдань Стратегії економічного та соціального розвитку Одеської області до 2020 року</w:t>
      </w:r>
    </w:p>
    <w:tbl>
      <w:tblPr>
        <w:tblStyle w:val="-45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410"/>
        <w:gridCol w:w="430"/>
        <w:gridCol w:w="2122"/>
        <w:gridCol w:w="5953"/>
      </w:tblGrid>
      <w:tr w:rsidR="00D6035F" w:rsidRPr="008006FF" w:rsidTr="00CD2A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</w:tcPr>
          <w:p w:rsidR="00D6035F" w:rsidRPr="008006FF" w:rsidRDefault="00D6035F" w:rsidP="00927634">
            <w:pPr>
              <w:ind w:firstLine="0"/>
              <w:rPr>
                <w:rFonts w:ascii="Arial Narrow" w:hAnsi="Arial Narrow" w:cs="Times New Roman"/>
                <w:sz w:val="28"/>
                <w:szCs w:val="28"/>
              </w:rPr>
            </w:pPr>
            <w:r w:rsidRPr="008006FF">
              <w:rPr>
                <w:rFonts w:ascii="Arial Narrow" w:hAnsi="Arial Narrow" w:cs="Times New Roman"/>
                <w:b w:val="0"/>
                <w:sz w:val="28"/>
                <w:szCs w:val="28"/>
              </w:rPr>
              <w:t>Стратегічні цілі</w:t>
            </w:r>
          </w:p>
        </w:tc>
        <w:tc>
          <w:tcPr>
            <w:tcW w:w="2122" w:type="dxa"/>
          </w:tcPr>
          <w:p w:rsidR="00D6035F" w:rsidRPr="008006FF" w:rsidRDefault="00D6035F" w:rsidP="0092763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8"/>
                <w:szCs w:val="28"/>
              </w:rPr>
            </w:pPr>
            <w:r w:rsidRPr="008006FF">
              <w:rPr>
                <w:rFonts w:ascii="Arial Narrow" w:hAnsi="Arial Narrow" w:cs="Times New Roman"/>
                <w:b w:val="0"/>
                <w:sz w:val="28"/>
                <w:szCs w:val="28"/>
              </w:rPr>
              <w:t>Операційні цілі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8"/>
                <w:szCs w:val="28"/>
              </w:rPr>
            </w:pPr>
            <w:r w:rsidRPr="008006FF">
              <w:rPr>
                <w:rFonts w:ascii="Arial Narrow" w:hAnsi="Arial Narrow" w:cs="Times New Roman"/>
                <w:b w:val="0"/>
                <w:sz w:val="28"/>
                <w:szCs w:val="28"/>
              </w:rPr>
              <w:t>Завдання</w:t>
            </w:r>
          </w:p>
        </w:tc>
      </w:tr>
      <w:tr w:rsidR="00102C22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5F7D7"/>
          </w:tcPr>
          <w:p w:rsidR="00102C22" w:rsidRPr="008006FF" w:rsidRDefault="00102C22" w:rsidP="00102C22">
            <w:pPr>
              <w:ind w:firstLine="0"/>
              <w:rPr>
                <w:rFonts w:ascii="Arial Narrow" w:hAnsi="Arial Narrow" w:cs="Times New Roman"/>
                <w:i/>
                <w:sz w:val="32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Регіональний </w:t>
            </w:r>
            <w:r w:rsidR="008006FF" w:rsidRPr="008006FF">
              <w:rPr>
                <w:rFonts w:ascii="Arial Narrow" w:hAnsi="Arial Narrow" w:cs="Times New Roman"/>
                <w:i/>
                <w:sz w:val="32"/>
                <w:szCs w:val="28"/>
              </w:rPr>
              <w:t>пріоритет</w:t>
            </w: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: </w:t>
            </w:r>
          </w:p>
          <w:p w:rsidR="00102C22" w:rsidRPr="008006FF" w:rsidRDefault="00102C22" w:rsidP="00102C22">
            <w:pPr>
              <w:ind w:firstLine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Забезпечення </w:t>
            </w:r>
            <w:r w:rsidR="008006FF" w:rsidRPr="008006FF">
              <w:rPr>
                <w:rFonts w:ascii="Arial Narrow" w:hAnsi="Arial Narrow" w:cs="Times New Roman"/>
                <w:i/>
                <w:sz w:val="32"/>
                <w:szCs w:val="28"/>
              </w:rPr>
              <w:t>конкурентоспроможної</w:t>
            </w: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 економіки</w:t>
            </w:r>
          </w:p>
        </w:tc>
      </w:tr>
      <w:tr w:rsidR="00205903" w:rsidRPr="008006FF" w:rsidTr="00CD2AE6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D6035F" w:rsidRPr="008006FF" w:rsidRDefault="00D6035F" w:rsidP="00054EC0">
            <w:pPr>
              <w:ind w:firstLine="0"/>
              <w:jc w:val="both"/>
              <w:rPr>
                <w:rFonts w:ascii="Arial Narrow" w:hAnsi="Arial Narrow" w:cs="Times New Roman"/>
                <w:sz w:val="44"/>
                <w:szCs w:val="28"/>
              </w:rPr>
            </w:pPr>
            <w:r w:rsidRPr="008006FF">
              <w:rPr>
                <w:rFonts w:ascii="Arial Narrow" w:hAnsi="Arial Narrow" w:cs="Times New Roman"/>
                <w:sz w:val="32"/>
                <w:szCs w:val="28"/>
              </w:rPr>
              <w:t>1.</w:t>
            </w:r>
            <w:r w:rsidR="00D81376" w:rsidRPr="008006FF">
              <w:rPr>
                <w:rFonts w:ascii="Arial Narrow" w:hAnsi="Arial Narrow" w:cs="Times New Roman"/>
                <w:sz w:val="32"/>
                <w:szCs w:val="28"/>
              </w:rPr>
              <w:t xml:space="preserve"> </w:t>
            </w:r>
            <w:r w:rsidRPr="008006FF">
              <w:rPr>
                <w:rFonts w:ascii="Arial Narrow" w:hAnsi="Arial Narrow" w:cs="Times New Roman"/>
                <w:sz w:val="32"/>
                <w:szCs w:val="28"/>
              </w:rPr>
              <w:t>Розбудова та модернізація транспортної інфраструктури</w:t>
            </w: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8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1.1.Створення сучасної мережі автомобільних доріг загального користування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8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1.1.1.Будівництво нових швидкісних автомагістралей, автомобільних доріг загального користування державного значення за пріоритетними напрямками розвитку регіону та за напрямками туристичних маршрутів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8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1.1.2.Покращання транспортно-експлуатаційного стану автомобільних доріг, доведення їх до параметрів І категорії</w:t>
            </w:r>
          </w:p>
        </w:tc>
      </w:tr>
      <w:tr w:rsidR="00205903" w:rsidRPr="008006FF" w:rsidTr="00CD2AE6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1.1.3.Реконструкція та будівництво автомобільних доріг місцевого значення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1.1.4.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Створення умов для комфортного і безпечного руху пасажирів</w:t>
            </w:r>
          </w:p>
        </w:tc>
      </w:tr>
      <w:tr w:rsidR="00205903" w:rsidRPr="008006FF" w:rsidTr="00CD2AE6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1.2.Модернізація та подальша розбудова портового господарства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1.2.1.Створення сучасних спеціалізованих високотехнологічних перевантажувальних терміналів, збільшення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потужностей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морських портів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1.2.2.Збільшення пропускної здатності контейнерних терміналів (переобладнання та розширення причалів, пристосованих для розміщення великої кількості контейнерів)</w:t>
            </w:r>
          </w:p>
        </w:tc>
      </w:tr>
      <w:tr w:rsidR="00205903" w:rsidRPr="008006FF" w:rsidTr="00CD2AE6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1.2.3.Збалансований розвиток інфраструктури морських торговельних портів і припортових залізничних станцій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1.2.4.Оновлення транспортного флоту ВАТ «Українське Дунайське пароплавство»</w:t>
            </w:r>
          </w:p>
        </w:tc>
      </w:tr>
      <w:tr w:rsidR="00205903" w:rsidRPr="008006FF" w:rsidTr="00CD2AE6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1.2.5.Створення сучасних логістичних центрів у портах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1.2.6.Розвиток прибережних перевезень сполученням «ріка-море»</w:t>
            </w:r>
          </w:p>
        </w:tc>
      </w:tr>
      <w:tr w:rsidR="00205903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1.3.Орієнтація транспортної інфраструктури на обслуговування туристських потоків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1.3.1.Розвиток залізничного, авіаційного та морського сполучення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1.3.2.Техніко-технологічна модернізація усіх видів транспорту</w:t>
            </w:r>
          </w:p>
        </w:tc>
      </w:tr>
      <w:tr w:rsidR="00205903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1.3.3.Розвиток сучасного автобусного сполучення, оптимізація мережі автобусних маршрутів, охоплення усіх населених пунктів автобусним сполученням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1.3.4.Надання високоякісних послуг та запровадження системи безготівкової оплати проїзду в міському електричному транспорті</w:t>
            </w:r>
          </w:p>
        </w:tc>
      </w:tr>
      <w:tr w:rsidR="00205903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1.3.5.Забезпечення безпеки руху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1.3.6.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Створення розвиненої сервісної мережі на автошляхах</w:t>
            </w:r>
          </w:p>
        </w:tc>
      </w:tr>
      <w:tr w:rsidR="00205903" w:rsidRPr="008006FF" w:rsidTr="00CD2AE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1.4.Розвиток транзитного потенціалу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1.4.1.Сприяння розвитку на території регіону ділянок міжнародних транспортних коридорів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1.4.2.Використання системи суднохідних трас</w:t>
            </w:r>
          </w:p>
        </w:tc>
      </w:tr>
      <w:tr w:rsidR="00205903" w:rsidRPr="008006FF" w:rsidTr="00CD2AE6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1.4.3.Забезпечення безпеки судноплавства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1.4.4.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Розвиток системи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Short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Sea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Shipping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у регіоні</w:t>
            </w:r>
          </w:p>
        </w:tc>
      </w:tr>
      <w:tr w:rsidR="00205903" w:rsidRPr="008006FF" w:rsidTr="00CD2AE6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1.4.5.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Впровадження системи державно-приватного партнерства у портах з метою залучення вантажопотоків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1.4.6.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Сприяння використанню концесії у портах як ефективного механізму їх розвитку</w:t>
            </w:r>
          </w:p>
        </w:tc>
      </w:tr>
      <w:tr w:rsidR="00205903" w:rsidRPr="008006FF" w:rsidTr="00CD2AE6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1.5.Створення умов для розвитку малого бізнесу в транспортній сфері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1.5.1.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Впровадження та дотримання принципів „мовчазної згоди" та „єдиного вікна"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1.5.2.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Спрощення митних та інших процедур з «очищення» вантажів</w:t>
            </w:r>
          </w:p>
        </w:tc>
      </w:tr>
      <w:tr w:rsidR="00205903" w:rsidRPr="008006FF" w:rsidTr="00CD2AE6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1.5.3.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Створення сприятливих умов для залучення іноземних інвесторів у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морегосподарський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комплекс регіону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1.5.4.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Диверсифікація діяльності окремих підприємств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морегосподарського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комплексу регіону</w:t>
            </w:r>
          </w:p>
        </w:tc>
      </w:tr>
      <w:tr w:rsidR="00205903" w:rsidRPr="008006FF" w:rsidTr="00CD2AE6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1.5.5.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Підтримка професійних асоціацій підприємців у сфері транспорту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D6035F" w:rsidRPr="008006FF" w:rsidRDefault="00205903" w:rsidP="00205903">
            <w:pPr>
              <w:ind w:firstLine="0"/>
              <w:jc w:val="left"/>
              <w:rPr>
                <w:rFonts w:ascii="Arial Narrow" w:hAnsi="Arial Narrow" w:cs="Times New Roman"/>
                <w:sz w:val="32"/>
                <w:szCs w:val="28"/>
              </w:rPr>
            </w:pPr>
            <w:r w:rsidRPr="008006FF">
              <w:rPr>
                <w:rFonts w:ascii="Arial Narrow" w:hAnsi="Arial Narrow" w:cs="Times New Roman"/>
                <w:sz w:val="32"/>
                <w:szCs w:val="28"/>
              </w:rPr>
              <w:t>2.</w:t>
            </w:r>
            <w:r w:rsidR="00B15196" w:rsidRPr="008006FF">
              <w:rPr>
                <w:rFonts w:ascii="Arial Narrow" w:hAnsi="Arial Narrow" w:cs="Times New Roman"/>
                <w:sz w:val="32"/>
                <w:szCs w:val="28"/>
              </w:rPr>
              <w:t xml:space="preserve"> </w:t>
            </w:r>
            <w:r w:rsidR="00D6035F" w:rsidRPr="008006FF">
              <w:rPr>
                <w:rFonts w:ascii="Arial Narrow" w:hAnsi="Arial Narrow" w:cs="Times New Roman"/>
                <w:sz w:val="32"/>
                <w:szCs w:val="28"/>
              </w:rPr>
              <w:t>Забезпечення енергетичної самодостатності області</w:t>
            </w: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2.1.Задоволення потреби регіону в енергетичних ресурсах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2.1.1.Оптимізація структури регіонального енергетичного балансу шляхом заміщення природного газу енергоресурсами, отриманими з відновлюваних джерел енергії та альтернативних видів палива, насамперед на об’єктах соціальної сфери</w:t>
            </w:r>
          </w:p>
        </w:tc>
      </w:tr>
      <w:tr w:rsidR="00205903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2.1.2.Впровадження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енергомоніторингу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Одеської області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2.1.3.Удосконалення (покращення) режимів постачання енергоносіїв</w:t>
            </w:r>
          </w:p>
        </w:tc>
      </w:tr>
      <w:tr w:rsidR="00205903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2.1.4.Застосування альтернативних (відновлювальних) джерел енергії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2.1.5.Зменшення фізичних обсягів споживання енергоносіїв об’єктами економіки, житлово-комунального господарства та у побуті</w:t>
            </w:r>
          </w:p>
        </w:tc>
      </w:tr>
      <w:tr w:rsidR="00205903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2.1.6.Модернізація мереж постачання енергоносіїв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2.2.Підвищення рівня енергоефективності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2.2.1.Підтримка інвестиційних проектів з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енергозаощадження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.</w:t>
            </w:r>
          </w:p>
        </w:tc>
      </w:tr>
      <w:tr w:rsidR="00205903" w:rsidRPr="008006FF" w:rsidTr="00CD2AE6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2.2.2.Зменшення енергоємності валового регіонального продукту</w:t>
            </w:r>
          </w:p>
        </w:tc>
      </w:tr>
      <w:tr w:rsidR="00205903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2.2.3.Заміна (модернізація) обладнання та впровадження сучасних технологій виробництва енергії</w:t>
            </w:r>
          </w:p>
        </w:tc>
      </w:tr>
      <w:tr w:rsidR="00205903" w:rsidRPr="008006FF" w:rsidTr="00CD2AE6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2.2.4.Підвищення енергоефективності об’єктів, що фінансуються з державного та місцевих бюджетів, зокрема шляхом зменшення питомих втрат у теплових, електричних та водопровідних мережах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D6035F" w:rsidRPr="008006FF" w:rsidRDefault="00D6035F" w:rsidP="00205903">
            <w:pPr>
              <w:ind w:firstLine="0"/>
              <w:jc w:val="left"/>
              <w:rPr>
                <w:rFonts w:ascii="Arial Narrow" w:hAnsi="Arial Narrow" w:cs="Times New Roman"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sz w:val="32"/>
                <w:szCs w:val="28"/>
              </w:rPr>
              <w:t>3.</w:t>
            </w:r>
            <w:r w:rsidR="00B15196" w:rsidRPr="008006FF">
              <w:rPr>
                <w:rFonts w:ascii="Arial Narrow" w:hAnsi="Arial Narrow" w:cs="Times New Roman"/>
                <w:sz w:val="32"/>
                <w:szCs w:val="28"/>
              </w:rPr>
              <w:t xml:space="preserve"> Які</w:t>
            </w:r>
            <w:r w:rsidRPr="008006FF">
              <w:rPr>
                <w:rFonts w:ascii="Arial Narrow" w:hAnsi="Arial Narrow" w:cs="Times New Roman"/>
                <w:sz w:val="32"/>
                <w:szCs w:val="28"/>
              </w:rPr>
              <w:t>сний розвиток туристично-рекреаційної інфраструктури</w:t>
            </w: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3.1.Підвищення якості та конкурентоспроможності туристичного продукту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3.1.1.Будівництво модернізація, та реконструкція об'єктів туристичної інфраструктури, доведення їх оснащення до міжнародних вимог</w:t>
            </w:r>
          </w:p>
        </w:tc>
      </w:tr>
      <w:tr w:rsidR="00D6035F" w:rsidRPr="008006FF" w:rsidTr="00CD2AE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3.1.2.Розширення номенклатури туристично-рекреаційних послуг (розвиток та підтримка круїзного морського, річкового, вітрильного, лікувально-оздоровчого, ділового, культурного, історично-пізнавального, спортивного та розважального, екологічного та сільського видів туризму)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3.1.3.Покращання стану зон відпочинку на морському узбережжі, розвиток інфраструктури курортів, утримання та благоустрій парків, пляжів.</w:t>
            </w:r>
          </w:p>
        </w:tc>
      </w:tr>
      <w:tr w:rsidR="00D6035F" w:rsidRPr="008006FF" w:rsidTr="00CD2AE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3.1.4.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Каталогізація та реставрація пам'яток історичної та культурної спадщини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3.1.5.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Розвиток розгалуженої мережі організацій та установ, що надають екскурсійні, культурно-розважальні, оздоровчі та інші послуги</w:t>
            </w:r>
          </w:p>
        </w:tc>
      </w:tr>
      <w:tr w:rsidR="00D6035F" w:rsidRPr="008006FF" w:rsidTr="00CD2AE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3.2.Раціональне використання рекреаційного та туристичного потенціалів регіону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3.2.1.Інвентаризація та впорядкування земель рекреаційного, історико-культурного і природоохоронного призначення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3.2.2.Формування конкурентоспроможних кластерів у рекреаційній та туристичній сферах</w:t>
            </w:r>
          </w:p>
        </w:tc>
      </w:tr>
      <w:tr w:rsidR="00D6035F" w:rsidRPr="008006FF" w:rsidTr="00CD2AE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3.2.3.Стратегічне планування розвитку прибережних територій, розробка схем функціонального зонування прибережної полоси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3.2.4.Збереження, захист та відтворення унікальної флори та фауни, природних ландшафтів</w:t>
            </w:r>
          </w:p>
        </w:tc>
      </w:tr>
      <w:tr w:rsidR="00D6035F" w:rsidRPr="008006FF" w:rsidTr="00CD2AE6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3.2.5.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Оцінка впливу та розробка заходів щодо адаптації рекреаційного потенціалу регіону до кліматичних змін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3.3.Розвиток регіональної інформаційної інфраструктури рекреаційних та туристичних послуг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3.3.1.Створення центрів туристичної інформації з обслуговування туристів та відпочиваючих</w:t>
            </w:r>
          </w:p>
        </w:tc>
      </w:tr>
      <w:tr w:rsidR="00D6035F" w:rsidRPr="008006FF" w:rsidTr="00CD2AE6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3.3.2.Популяризація туристичного продукту через ярмаркову, виставкову та фестивальну діяльність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3.3.3.Забезпечення перепідготовки персоналу рекреаційно-туристичного комплексу з метою забезпечення обслуговування іноземних відвідувачів</w:t>
            </w:r>
          </w:p>
        </w:tc>
      </w:tr>
      <w:tr w:rsidR="00D6035F" w:rsidRPr="008006FF" w:rsidTr="00CD2AE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3.4.Створення умов для розвитку малого та середнього бізнесу у туристичній сфері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3.4.1.Розвиток інфраструктури та підвищення якості ринку туристичних послуг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3.4.2.Створення кластерів у туристично-рекреаційній сфері</w:t>
            </w:r>
          </w:p>
        </w:tc>
      </w:tr>
      <w:tr w:rsidR="00D6035F" w:rsidRPr="008006FF" w:rsidTr="00CD2AE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3.4.3.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Впровадження та дотримання принципів „мовчазної згоди" та „єдиного вікна"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D6035F" w:rsidRPr="008006FF" w:rsidRDefault="00D6035F" w:rsidP="00205903">
            <w:pPr>
              <w:ind w:firstLine="0"/>
              <w:jc w:val="left"/>
              <w:rPr>
                <w:rFonts w:ascii="Arial Narrow" w:hAnsi="Arial Narrow" w:cs="Times New Roman"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sz w:val="32"/>
                <w:szCs w:val="28"/>
              </w:rPr>
              <w:t>4.</w:t>
            </w:r>
            <w:r w:rsidR="00B15196" w:rsidRPr="008006FF">
              <w:rPr>
                <w:rFonts w:ascii="Arial Narrow" w:hAnsi="Arial Narrow" w:cs="Times New Roman"/>
                <w:sz w:val="32"/>
                <w:szCs w:val="28"/>
              </w:rPr>
              <w:t xml:space="preserve"> </w:t>
            </w:r>
            <w:r w:rsidRPr="008006FF">
              <w:rPr>
                <w:rFonts w:ascii="Arial Narrow" w:hAnsi="Arial Narrow" w:cs="Times New Roman"/>
                <w:sz w:val="32"/>
                <w:szCs w:val="28"/>
              </w:rPr>
              <w:t>Розвиток високопродуктивного аграрного виробництва</w:t>
            </w: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4.1.Ефективне функціонування аграрної сфери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4.1.1.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Впровадження ресурсозберігаючих, екологічно безпечних технологій вирощування сільськогосподарських культур, створення сучасної селекційної бази</w:t>
            </w:r>
          </w:p>
        </w:tc>
      </w:tr>
      <w:tr w:rsidR="00D6035F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4.1.2.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Підвищення родючості ґрунтів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4.1.3.Підвищення ефективності використання зрошуваних земель</w:t>
            </w:r>
          </w:p>
        </w:tc>
      </w:tr>
      <w:tr w:rsidR="00D6035F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4.1.4.Створення умов для поновлення машино-тракторного парку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4.1.5.Підвищення конкурентоспроможності харчових продуктів на внутрішньому і зовнішньому ринках</w:t>
            </w:r>
          </w:p>
        </w:tc>
      </w:tr>
      <w:tr w:rsidR="00D6035F" w:rsidRPr="008006FF" w:rsidTr="00CD2AE6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4.1.6.Розширення виробництва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імпортозаміщуючої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продукції (розвиток овочівництва, садівництва та виноградарства)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4.2.</w:t>
            </w:r>
            <w:r w:rsidRPr="008006FF">
              <w:rPr>
                <w:rFonts w:ascii="Arial Narrow" w:hAnsi="Arial Narrow"/>
                <w:b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Розвиток ринкової інфраструктури в агропромисловому комплексі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4.2.1.Створення оптових (гуртових)  сільськогосподарських ринків</w:t>
            </w:r>
          </w:p>
        </w:tc>
      </w:tr>
      <w:tr w:rsidR="00D6035F" w:rsidRPr="008006FF" w:rsidTr="00CD2AE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4.2.2.Створення сільськогосподарських обслуговуючих кооперативів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4.2.3.Впровадження сучасних технологій зберігання та переробки продукції сільського господарства</w:t>
            </w:r>
          </w:p>
        </w:tc>
      </w:tr>
      <w:tr w:rsidR="00D6035F" w:rsidRPr="008006FF" w:rsidTr="00CD2AE6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4.3.</w:t>
            </w:r>
            <w:r w:rsidRPr="008006FF">
              <w:rPr>
                <w:rFonts w:ascii="Arial Narrow" w:hAnsi="Arial Narrow"/>
                <w:b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 xml:space="preserve">Стабільне зростання виробництва </w:t>
            </w: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lastRenderedPageBreak/>
              <w:t>продукції тваринництва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lastRenderedPageBreak/>
              <w:t>4.3.1.Реконструкція та будівництво тваринницьких комплексів і ферм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4.3.2.Розвиток селекційно-племінних центрів та господарств</w:t>
            </w:r>
          </w:p>
        </w:tc>
      </w:tr>
      <w:tr w:rsidR="00D6035F" w:rsidRPr="008006FF" w:rsidTr="00CD2AE6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4.3.3.Стимулювання нарощування чисельності поголів'я великої рогатої худоби, зокрема молочних порід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4.3.4.Покращання зооветеринарного та племінного обслуговування тваринництва</w:t>
            </w:r>
          </w:p>
        </w:tc>
      </w:tr>
      <w:tr w:rsidR="00D6035F" w:rsidRPr="008006FF" w:rsidTr="00CD2AE6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4.3.5.Сприяння розвитку товарного виробництва кормів та створення пасовищ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4.3.6.</w:t>
            </w:r>
            <w:r w:rsidRPr="008006FF">
              <w:rPr>
                <w:rFonts w:ascii="Arial Narrow" w:hAnsi="Arial Narrow"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Забезпечення стабільної епізоотичної ситуації в регіоні</w:t>
            </w:r>
          </w:p>
        </w:tc>
      </w:tr>
      <w:tr w:rsidR="00D6035F" w:rsidRPr="008006FF" w:rsidTr="00CD2AE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D6035F" w:rsidRPr="008006FF" w:rsidRDefault="00D6035F" w:rsidP="00927634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4.4.</w:t>
            </w:r>
            <w:r w:rsidRPr="008006FF">
              <w:rPr>
                <w:rFonts w:ascii="Arial Narrow" w:hAnsi="Arial Narrow"/>
                <w:b/>
                <w:i/>
              </w:rPr>
              <w:t xml:space="preserve"> </w:t>
            </w: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Створення умов для розвитку малого та середнього бізнесу в аграрній сфері</w:t>
            </w: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4.4.1.Сприяння сталому розвитку малого бізнесу в аграрній сфері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4.4.2.</w:t>
            </w:r>
            <w:r w:rsidRPr="008006FF">
              <w:rPr>
                <w:rFonts w:ascii="Arial Narrow" w:hAnsi="Arial Narrow"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Сприяння міжнародному бізнес-партнерству підприємств.</w:t>
            </w:r>
          </w:p>
        </w:tc>
      </w:tr>
      <w:tr w:rsidR="00D6035F" w:rsidRPr="008006FF" w:rsidTr="00CD2AE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4.4.3.</w:t>
            </w:r>
            <w:r w:rsidRPr="008006FF">
              <w:rPr>
                <w:rFonts w:ascii="Arial Narrow" w:hAnsi="Arial Narrow"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Мотивація сільських мешканців до створення фермерських господарств</w:t>
            </w:r>
          </w:p>
        </w:tc>
      </w:tr>
      <w:tr w:rsidR="00D6035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D6035F" w:rsidRPr="008006FF" w:rsidRDefault="00D6035F" w:rsidP="00927634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D6035F" w:rsidRPr="008006FF" w:rsidRDefault="00D6035F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4.4.4.</w:t>
            </w:r>
            <w:r w:rsidRPr="008006FF">
              <w:rPr>
                <w:rFonts w:ascii="Arial Narrow" w:hAnsi="Arial Narrow"/>
              </w:rPr>
              <w:t xml:space="preserve"> 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Сприяння створенню асоціації малих аграрних підприємств</w:t>
            </w:r>
          </w:p>
        </w:tc>
      </w:tr>
      <w:tr w:rsidR="00B00A1E" w:rsidRPr="008006FF" w:rsidTr="00CD2AE6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B00A1E" w:rsidRPr="008006FF" w:rsidRDefault="00B00A1E" w:rsidP="00B00A1E">
            <w:pPr>
              <w:ind w:firstLine="0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5.</w:t>
            </w:r>
            <w:r w:rsidRPr="008006FF">
              <w:rPr>
                <w:rFonts w:ascii="Arial Narrow" w:hAnsi="Arial Narrow" w:cs="Times New Roman"/>
                <w:sz w:val="32"/>
                <w:szCs w:val="32"/>
              </w:rPr>
              <w:t xml:space="preserve"> Розбудова сучасної індустрії</w:t>
            </w:r>
          </w:p>
        </w:tc>
        <w:tc>
          <w:tcPr>
            <w:tcW w:w="2552" w:type="dxa"/>
            <w:gridSpan w:val="2"/>
            <w:vMerge w:val="restart"/>
          </w:tcPr>
          <w:p w:rsidR="00B00A1E" w:rsidRPr="008006FF" w:rsidRDefault="00B00A1E" w:rsidP="00B00A1E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5.1. Відновлення виробничого потенціалу</w:t>
            </w:r>
          </w:p>
        </w:tc>
        <w:tc>
          <w:tcPr>
            <w:tcW w:w="5953" w:type="dxa"/>
          </w:tcPr>
          <w:p w:rsidR="00B00A1E" w:rsidRPr="008006FF" w:rsidRDefault="00B00A1E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5.1.1. Стимулювання збільшення обсягів виробництва промислової продукції</w:t>
            </w:r>
          </w:p>
        </w:tc>
      </w:tr>
      <w:tr w:rsidR="00B00A1E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B00A1E" w:rsidRPr="008006FF" w:rsidRDefault="00B00A1E" w:rsidP="00B00A1E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B00A1E" w:rsidRPr="008006FF" w:rsidRDefault="00B00A1E" w:rsidP="00B00A1E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00A1E" w:rsidRPr="008006FF" w:rsidRDefault="00B00A1E" w:rsidP="00B00A1E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5.1.2. Розбудова в регіоні галузі машинобудування</w:t>
            </w:r>
          </w:p>
        </w:tc>
      </w:tr>
      <w:tr w:rsidR="00B00A1E" w:rsidRPr="008006FF" w:rsidTr="00CD2AE6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B00A1E" w:rsidRPr="008006FF" w:rsidRDefault="00B00A1E" w:rsidP="00B00A1E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B00A1E" w:rsidRPr="008006FF" w:rsidRDefault="00B00A1E" w:rsidP="00B00A1E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00A1E" w:rsidRPr="008006FF" w:rsidRDefault="00B00A1E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5.1.3. Розбудова будівельної індустрії в регіоні як основи будівництва житла для населення з середнім рівнем доходів та соціального житла</w:t>
            </w:r>
          </w:p>
        </w:tc>
      </w:tr>
      <w:tr w:rsidR="00B00A1E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B00A1E" w:rsidRPr="008006FF" w:rsidRDefault="00B00A1E" w:rsidP="00B00A1E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B00A1E" w:rsidRPr="008006FF" w:rsidRDefault="00B00A1E" w:rsidP="00B00A1E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00A1E" w:rsidRPr="008006FF" w:rsidRDefault="00B00A1E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5.1.4. Впровадження на підприємствах харчової промисловості нових сучасних технологій</w:t>
            </w:r>
          </w:p>
        </w:tc>
      </w:tr>
      <w:tr w:rsidR="0080786D" w:rsidRPr="008006FF" w:rsidTr="00CD2AE6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80786D" w:rsidRPr="008006FF" w:rsidRDefault="0080786D" w:rsidP="0080786D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80786D" w:rsidRPr="008006FF" w:rsidRDefault="0080786D" w:rsidP="00B00A1E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5.2.</w:t>
            </w:r>
            <w:r w:rsidRPr="008006FF">
              <w:rPr>
                <w:rFonts w:ascii="Arial Narrow" w:hAnsi="Arial Narrow" w:cs="Times New Roman"/>
                <w:b/>
                <w:bCs/>
                <w:i/>
                <w:sz w:val="24"/>
                <w:szCs w:val="28"/>
              </w:rPr>
              <w:t xml:space="preserve"> .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</w:t>
            </w:r>
            <w:r w:rsidRPr="008006FF">
              <w:rPr>
                <w:rFonts w:ascii="Arial Narrow" w:hAnsi="Arial Narrow" w:cs="Times New Roman"/>
                <w:b/>
                <w:bCs/>
                <w:i/>
                <w:sz w:val="24"/>
                <w:szCs w:val="28"/>
              </w:rPr>
              <w:t>Впровадження  інноваційно-інвестиційної моделі розвитку індустрії</w:t>
            </w:r>
          </w:p>
        </w:tc>
        <w:tc>
          <w:tcPr>
            <w:tcW w:w="5953" w:type="dxa"/>
          </w:tcPr>
          <w:p w:rsidR="0080786D" w:rsidRPr="008006FF" w:rsidRDefault="0080786D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5.2.1. Створення умов для впровадження на підприємствах індустрії інноваційних проектів</w:t>
            </w:r>
          </w:p>
        </w:tc>
      </w:tr>
      <w:tr w:rsidR="0080786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80786D" w:rsidRPr="008006FF" w:rsidRDefault="0080786D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80786D" w:rsidRPr="008006FF" w:rsidRDefault="0080786D" w:rsidP="00B00A1E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786D" w:rsidRPr="008006FF" w:rsidRDefault="0080786D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5.2.2. Стимулювання власного виробництва продукції в регіоні для зменшення частки імпортних товарів </w:t>
            </w:r>
          </w:p>
        </w:tc>
      </w:tr>
      <w:tr w:rsidR="0080786D" w:rsidRPr="008006FF" w:rsidTr="00CD2AE6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80786D" w:rsidRPr="008006FF" w:rsidRDefault="0080786D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80786D" w:rsidRPr="008006FF" w:rsidRDefault="0080786D" w:rsidP="00B00A1E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786D" w:rsidRPr="008006FF" w:rsidRDefault="0080786D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5.2.3. Створення сприятливого інвестиційного клімату в регіоні для активного інвестування в інноваційні проекти коштів українських інвесторів</w:t>
            </w:r>
          </w:p>
        </w:tc>
      </w:tr>
      <w:tr w:rsidR="0080786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80786D" w:rsidRPr="008006FF" w:rsidRDefault="0080786D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80786D" w:rsidRPr="008006FF" w:rsidRDefault="0080786D" w:rsidP="00B00A1E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786D" w:rsidRPr="008006FF" w:rsidRDefault="0080786D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5.2.4. Стимулювання винахідницької діяльності</w:t>
            </w:r>
          </w:p>
        </w:tc>
      </w:tr>
      <w:tr w:rsidR="0080786D" w:rsidRPr="008006FF" w:rsidTr="00CD2AE6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80786D" w:rsidRPr="008006FF" w:rsidRDefault="0080786D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80786D" w:rsidRPr="008006FF" w:rsidRDefault="0080786D" w:rsidP="00B00A1E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786D" w:rsidRPr="008006FF" w:rsidRDefault="0080786D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5.2.5. Формування сприятливого інвестиційного клімату в регіоні для активного притоку іноземних інвесторів, зокрема шляхом створення індустріальних парків</w:t>
            </w:r>
          </w:p>
        </w:tc>
      </w:tr>
      <w:tr w:rsidR="005278B7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</w:tcPr>
          <w:p w:rsidR="005278B7" w:rsidRPr="008006FF" w:rsidRDefault="005278B7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5278B7" w:rsidRPr="008006FF" w:rsidRDefault="005278B7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5.3. Створення умов для розвитку малого та середнього бізнесу в індустрії</w:t>
            </w:r>
          </w:p>
        </w:tc>
        <w:tc>
          <w:tcPr>
            <w:tcW w:w="5953" w:type="dxa"/>
          </w:tcPr>
          <w:p w:rsidR="005278B7" w:rsidRPr="008006FF" w:rsidRDefault="005278B7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5.3.1. Сприяння сталому розвитку малого бізнесу</w:t>
            </w:r>
          </w:p>
        </w:tc>
      </w:tr>
      <w:tr w:rsidR="005278B7" w:rsidRPr="008006FF" w:rsidTr="00CD2A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5278B7" w:rsidRPr="008006FF" w:rsidRDefault="005278B7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278B7" w:rsidRPr="008006FF" w:rsidRDefault="005278B7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5278B7" w:rsidRPr="008006FF" w:rsidRDefault="005278B7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5.3.2. Сприяння міжнародному бізнес-партнерству підприємств</w:t>
            </w:r>
          </w:p>
        </w:tc>
      </w:tr>
      <w:tr w:rsidR="005278B7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5278B7" w:rsidRPr="008006FF" w:rsidRDefault="005278B7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278B7" w:rsidRPr="008006FF" w:rsidRDefault="005278B7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5278B7" w:rsidRPr="008006FF" w:rsidRDefault="005278B7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5.3.3. Сприяння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кластеризації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економіки регіону</w:t>
            </w:r>
          </w:p>
        </w:tc>
      </w:tr>
      <w:tr w:rsidR="005278B7" w:rsidRPr="008006FF" w:rsidTr="00CD2AE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:rsidR="005278B7" w:rsidRPr="008006FF" w:rsidRDefault="005278B7" w:rsidP="0080786D">
            <w:pPr>
              <w:ind w:firstLine="0"/>
              <w:jc w:val="both"/>
              <w:rPr>
                <w:rFonts w:ascii="Arial Narrow" w:hAnsi="Arial Narrow" w:cs="Times New Roman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552" w:type="dxa"/>
            <w:gridSpan w:val="2"/>
            <w:vMerge/>
          </w:tcPr>
          <w:p w:rsidR="005278B7" w:rsidRPr="008006FF" w:rsidRDefault="005278B7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5278B7" w:rsidRPr="008006FF" w:rsidRDefault="005278B7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5.3.4. Сприяння проведенню навчання з питань підприємницької діяльності</w:t>
            </w:r>
          </w:p>
        </w:tc>
      </w:tr>
      <w:tr w:rsidR="00102C22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5F7D7"/>
          </w:tcPr>
          <w:p w:rsidR="00102C22" w:rsidRPr="008006FF" w:rsidRDefault="00102C22" w:rsidP="00102C22">
            <w:pPr>
              <w:ind w:firstLine="0"/>
              <w:rPr>
                <w:rFonts w:ascii="Arial Narrow" w:hAnsi="Arial Narrow" w:cs="Times New Roman"/>
                <w:i/>
                <w:sz w:val="32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Регіональний </w:t>
            </w:r>
            <w:r w:rsidR="008006FF" w:rsidRPr="008006FF">
              <w:rPr>
                <w:rFonts w:ascii="Arial Narrow" w:hAnsi="Arial Narrow" w:cs="Times New Roman"/>
                <w:i/>
                <w:sz w:val="32"/>
                <w:szCs w:val="28"/>
              </w:rPr>
              <w:t>пріоритет</w:t>
            </w: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: </w:t>
            </w:r>
          </w:p>
          <w:p w:rsidR="00102C22" w:rsidRPr="008006FF" w:rsidRDefault="00102C22" w:rsidP="00054EC0">
            <w:pPr>
              <w:ind w:firstLine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>Розвиток людського потенціалу</w:t>
            </w:r>
          </w:p>
        </w:tc>
      </w:tr>
      <w:tr w:rsidR="00F21FE6" w:rsidRPr="008006FF" w:rsidTr="00CD2AE6">
        <w:trPr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sz w:val="32"/>
                <w:szCs w:val="32"/>
              </w:rPr>
              <w:t xml:space="preserve">6.Формування </w:t>
            </w:r>
            <w:proofErr w:type="spellStart"/>
            <w:r w:rsidRPr="008006FF">
              <w:rPr>
                <w:rFonts w:ascii="Arial Narrow" w:hAnsi="Arial Narrow" w:cs="Times New Roman"/>
                <w:sz w:val="32"/>
                <w:szCs w:val="32"/>
              </w:rPr>
              <w:t>конкурентоспро</w:t>
            </w:r>
            <w:r w:rsidR="00CD2AE6">
              <w:rPr>
                <w:rFonts w:ascii="Arial Narrow" w:hAnsi="Arial Narrow" w:cs="Times New Roman"/>
                <w:sz w:val="32"/>
                <w:szCs w:val="32"/>
              </w:rPr>
              <w:t>-</w:t>
            </w:r>
            <w:r w:rsidRPr="008006FF">
              <w:rPr>
                <w:rFonts w:ascii="Arial Narrow" w:hAnsi="Arial Narrow" w:cs="Times New Roman"/>
                <w:sz w:val="32"/>
                <w:szCs w:val="32"/>
              </w:rPr>
              <w:lastRenderedPageBreak/>
              <w:t>можного</w:t>
            </w:r>
            <w:proofErr w:type="spellEnd"/>
            <w:r w:rsidRPr="008006FF">
              <w:rPr>
                <w:rFonts w:ascii="Arial Narrow" w:hAnsi="Arial Narrow" w:cs="Times New Roman"/>
                <w:sz w:val="32"/>
                <w:szCs w:val="32"/>
              </w:rPr>
              <w:t xml:space="preserve"> інтелектуального капіталу</w:t>
            </w:r>
          </w:p>
        </w:tc>
        <w:tc>
          <w:tcPr>
            <w:tcW w:w="2122" w:type="dxa"/>
            <w:vMerge w:val="restart"/>
          </w:tcPr>
          <w:p w:rsidR="00F21FE6" w:rsidRPr="008006FF" w:rsidRDefault="00F21F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lastRenderedPageBreak/>
              <w:t xml:space="preserve">6.1. Розвиток сучасної </w:t>
            </w: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lastRenderedPageBreak/>
              <w:t>високоякісної освіти та науки</w:t>
            </w:r>
          </w:p>
        </w:tc>
        <w:tc>
          <w:tcPr>
            <w:tcW w:w="5953" w:type="dxa"/>
          </w:tcPr>
          <w:p w:rsidR="00F21FE6" w:rsidRPr="008006FF" w:rsidRDefault="00F21FE6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lastRenderedPageBreak/>
              <w:t>6.1.1. Розвиток мережі дошкільних навчальних закладів різних типів та форм власності</w:t>
            </w:r>
          </w:p>
        </w:tc>
      </w:tr>
      <w:tr w:rsidR="00F21FE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6.1.2. Реконструкція пристосованих приміщень та діючих закладів, повернення до мережі закладів, що використовуються не за призначенням</w:t>
            </w:r>
          </w:p>
        </w:tc>
      </w:tr>
      <w:tr w:rsidR="00F21FE6" w:rsidRPr="008006FF" w:rsidTr="00CD2AE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6.1.3. Розвиток альтернативних форм дошкільної освіти</w:t>
            </w:r>
          </w:p>
        </w:tc>
      </w:tr>
      <w:tr w:rsidR="00F21FE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927634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6.1.4. Створення умов рівного доступу до якісної освіти дітям з особливими освітніми потребами, у тому числі з інвалідністю</w:t>
            </w:r>
          </w:p>
        </w:tc>
      </w:tr>
      <w:tr w:rsidR="00F21FE6" w:rsidRPr="008006FF" w:rsidTr="00CD2AE6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927634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6.1.5. Впровадження і реалізація нових освітніх проектів (електронні підручники, дистанційні форми навчання) та сучасних інформаційних, комунікаційних технологій та засобів навчання</w:t>
            </w:r>
          </w:p>
        </w:tc>
      </w:tr>
      <w:tr w:rsidR="00F21FE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771D1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6.1.6. Здійснення моніторингу якості освіти та освітніх послуг</w:t>
            </w:r>
          </w:p>
        </w:tc>
      </w:tr>
      <w:tr w:rsidR="00F21FE6" w:rsidRPr="008006FF" w:rsidTr="00CD2AE6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771D16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6.1.7. Впровадження освітніх програм та методів навчання з формування в учнівської молоді особистості, активної громадської позиції</w:t>
            </w:r>
          </w:p>
        </w:tc>
      </w:tr>
      <w:tr w:rsidR="00F21FE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771D1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6.1.8. Підвищення рівня знань іноземних мов та активізації процесів викладання іноземними мовами дисциплін навчального плану</w:t>
            </w:r>
          </w:p>
        </w:tc>
      </w:tr>
      <w:tr w:rsidR="00F21FE6" w:rsidRPr="008006FF" w:rsidTr="00CD2AE6">
        <w:trPr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771D16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6.1.9.Отримання від Міністерства освіти і науки України повного пакету управлінських повноважень, включаючи майнові, та започаткування експерименту з реформування системи професійної підготовки області</w:t>
            </w:r>
          </w:p>
        </w:tc>
      </w:tr>
      <w:tr w:rsidR="00F21FE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771D1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6.1.10. Відкриття нових професій у відповідності до сучасних потреб ринку праці, оновлення матеріально-технічної бази закладів та вдосконалення механізму працевлаштування випускників</w:t>
            </w:r>
          </w:p>
        </w:tc>
      </w:tr>
      <w:tr w:rsidR="00F21FE6" w:rsidRPr="008006FF" w:rsidTr="00CD2AE6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21FE6" w:rsidRPr="008006FF" w:rsidRDefault="00F21FE6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21FE6" w:rsidRPr="008006FF" w:rsidRDefault="00F21F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21FE6" w:rsidRPr="008006FF" w:rsidRDefault="00F21FE6" w:rsidP="00771D16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6.1.11. Підтримка молодих науковців</w:t>
            </w:r>
          </w:p>
        </w:tc>
      </w:tr>
      <w:tr w:rsidR="00D85D20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D85D20" w:rsidRPr="008006FF" w:rsidRDefault="00D85D20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D85D20" w:rsidRPr="008006FF" w:rsidRDefault="00D85D20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6.2. Кадрове та комунікаційне забезпечення</w:t>
            </w:r>
          </w:p>
        </w:tc>
        <w:tc>
          <w:tcPr>
            <w:tcW w:w="5953" w:type="dxa"/>
          </w:tcPr>
          <w:p w:rsidR="00D85D20" w:rsidRPr="008006FF" w:rsidRDefault="00D85D20" w:rsidP="00771D1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6.2.1. Удосконалення існуючої системи підвищення кваліфікації педагогічних працівників</w:t>
            </w:r>
          </w:p>
        </w:tc>
      </w:tr>
      <w:tr w:rsidR="00D85D20" w:rsidRPr="008006FF" w:rsidTr="00CD2AE6">
        <w:trPr>
          <w:trHeight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85D20" w:rsidRPr="008006FF" w:rsidRDefault="00D85D20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85D20" w:rsidRPr="008006FF" w:rsidRDefault="00D85D20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85D20" w:rsidRPr="008006FF" w:rsidRDefault="00D85D20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6.2.2. Забезпечення сталого розвитку та кар’єрного росту молодого вчителя, підтримка молодих науковців та впровадження мотивації праці, особливо у сільській місцевості</w:t>
            </w:r>
          </w:p>
        </w:tc>
      </w:tr>
      <w:tr w:rsidR="00D85D20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85D20" w:rsidRPr="008006FF" w:rsidRDefault="00D85D20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85D20" w:rsidRPr="008006FF" w:rsidRDefault="00D85D20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85D20" w:rsidRPr="008006FF" w:rsidRDefault="00D85D20" w:rsidP="00D85D20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6.2.3. Стимулювання роботи педагогічних працівників та впровадження системи мотивації праці</w:t>
            </w:r>
          </w:p>
        </w:tc>
      </w:tr>
      <w:tr w:rsidR="00D85D20" w:rsidRPr="008006FF" w:rsidTr="00CD2AE6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85D20" w:rsidRPr="008006FF" w:rsidRDefault="00D85D20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85D20" w:rsidRPr="008006FF" w:rsidRDefault="00D85D20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85D20" w:rsidRPr="008006FF" w:rsidRDefault="00D85D20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6.2.4. Розбудова платформи для співпраці та діалогу між представниками влади, НГО та бізнесом</w:t>
            </w:r>
          </w:p>
        </w:tc>
      </w:tr>
      <w:tr w:rsidR="00D85D20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85D20" w:rsidRPr="008006FF" w:rsidRDefault="00D85D20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85D20" w:rsidRPr="008006FF" w:rsidRDefault="00D85D20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85D20" w:rsidRPr="008006FF" w:rsidRDefault="00D85D20" w:rsidP="00D85D20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6.2.5. Створення інтернет-ресурсу з публічною інформацією щодо регіональної освітньої мережі</w:t>
            </w:r>
          </w:p>
        </w:tc>
      </w:tr>
      <w:tr w:rsidR="00D85D20" w:rsidRPr="008006FF" w:rsidTr="00CD2A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85D20" w:rsidRPr="008006FF" w:rsidRDefault="00D85D20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85D20" w:rsidRPr="008006FF" w:rsidRDefault="00D85D20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85D20" w:rsidRPr="008006FF" w:rsidRDefault="00D85D20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6.2.6. Координація та взаємодія з вищими навчальними закладами та науковими установами</w:t>
            </w:r>
          </w:p>
        </w:tc>
      </w:tr>
      <w:tr w:rsidR="00896D95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896D95" w:rsidRPr="008006FF" w:rsidRDefault="00896D95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896D95" w:rsidRPr="008006FF" w:rsidRDefault="00896D95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6.3. Формування активного бізнес-середовища</w:t>
            </w:r>
          </w:p>
        </w:tc>
        <w:tc>
          <w:tcPr>
            <w:tcW w:w="5953" w:type="dxa"/>
          </w:tcPr>
          <w:p w:rsidR="00896D95" w:rsidRPr="008006FF" w:rsidRDefault="00896D95" w:rsidP="00D85D20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6.3.1. Мотивація незайнятого економічно-активного населення до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самозайнятості</w:t>
            </w:r>
            <w:proofErr w:type="spellEnd"/>
          </w:p>
        </w:tc>
      </w:tr>
      <w:tr w:rsidR="00896D95" w:rsidRPr="008006FF" w:rsidTr="00CD2AE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96D95" w:rsidRPr="008006FF" w:rsidRDefault="00896D95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96D95" w:rsidRPr="008006FF" w:rsidRDefault="00896D95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96D95" w:rsidRPr="008006FF" w:rsidRDefault="00896D95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6.3.2. Організація професійного навчання безробітних на основі вимог роботодавця</w:t>
            </w:r>
          </w:p>
        </w:tc>
      </w:tr>
      <w:tr w:rsidR="00896D95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96D95" w:rsidRPr="008006FF" w:rsidRDefault="00896D95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96D95" w:rsidRPr="008006FF" w:rsidRDefault="00896D95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96D95" w:rsidRPr="008006FF" w:rsidRDefault="00896D95" w:rsidP="00D85D20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6.3.3.Запобігання відтоку сільського населення до міста та кваліфікованої робочої сили за межі області та країни</w:t>
            </w:r>
          </w:p>
        </w:tc>
      </w:tr>
      <w:tr w:rsidR="00896D95" w:rsidRPr="008006FF" w:rsidTr="00CD2AE6">
        <w:trPr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96D95" w:rsidRPr="008006FF" w:rsidRDefault="00896D95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96D95" w:rsidRPr="008006FF" w:rsidRDefault="00896D95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96D95" w:rsidRPr="008006FF" w:rsidRDefault="00896D95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6.3.4. Вдосконалення механізму працевлаштування випускників та стимулювання підготовки фахівців за спеціальностями, з яких існує попит в регіоні</w:t>
            </w:r>
          </w:p>
        </w:tc>
      </w:tr>
      <w:tr w:rsidR="00896D95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96D95" w:rsidRPr="008006FF" w:rsidRDefault="00896D95" w:rsidP="005278B7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96D95" w:rsidRPr="008006FF" w:rsidRDefault="00896D95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96D95" w:rsidRPr="008006FF" w:rsidRDefault="00896D95" w:rsidP="00D85D20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6.3.5. Підвищення рівня обізнаності населення з питань організації та провадження підприємницької діяльності</w:t>
            </w:r>
          </w:p>
        </w:tc>
      </w:tr>
      <w:tr w:rsidR="00DB3A65" w:rsidRPr="008006FF" w:rsidTr="00CD2AE6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DB3A65" w:rsidRPr="008006FF" w:rsidRDefault="00DB3A65" w:rsidP="00896D95">
            <w:pPr>
              <w:ind w:firstLine="0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Cs w:val="0"/>
                <w:sz w:val="32"/>
                <w:szCs w:val="28"/>
              </w:rPr>
              <w:t>7.</w:t>
            </w:r>
            <w:r w:rsidRPr="008006FF">
              <w:rPr>
                <w:rFonts w:ascii="Arial Narrow" w:hAnsi="Arial Narrow" w:cs="Times New Roman"/>
                <w:sz w:val="32"/>
                <w:szCs w:val="28"/>
              </w:rPr>
              <w:t xml:space="preserve"> Забезпечення умов для здорового та культурного розвитку населення</w:t>
            </w:r>
          </w:p>
        </w:tc>
        <w:tc>
          <w:tcPr>
            <w:tcW w:w="2122" w:type="dxa"/>
            <w:vMerge w:val="restart"/>
          </w:tcPr>
          <w:p w:rsidR="00DB3A65" w:rsidRPr="008006FF" w:rsidRDefault="00DB3A65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7.1. Підвищення якості та доступності медичних послуг</w:t>
            </w:r>
          </w:p>
        </w:tc>
        <w:tc>
          <w:tcPr>
            <w:tcW w:w="5953" w:type="dxa"/>
          </w:tcPr>
          <w:p w:rsidR="00DB3A65" w:rsidRPr="008006FF" w:rsidRDefault="00DB3A65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7.1.1. Підвищення рівня забезпеченості медичними послугами (розвиток та удосконалення мережі закладів охорони здоров’я, особливо, у сільській місцевості </w:t>
            </w:r>
          </w:p>
        </w:tc>
      </w:tr>
      <w:tr w:rsidR="00DB3A65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B3A65" w:rsidRPr="008006FF" w:rsidRDefault="00DB3A65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B3A65" w:rsidRPr="008006FF" w:rsidRDefault="00DB3A65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B3A65" w:rsidRPr="008006FF" w:rsidRDefault="00DB3A65" w:rsidP="00D85D20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7.1.2. Подальший розвиток та удосконалення організації центрів первинної медико-санітарної допомоги на засадах сімейної медицини</w:t>
            </w:r>
          </w:p>
        </w:tc>
      </w:tr>
      <w:tr w:rsidR="00DB3A65" w:rsidRPr="008006FF" w:rsidTr="00CD2AE6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B3A65" w:rsidRPr="008006FF" w:rsidRDefault="00DB3A65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B3A65" w:rsidRPr="008006FF" w:rsidRDefault="00DB3A65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B3A65" w:rsidRPr="008006FF" w:rsidRDefault="00DB3A65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7.1.3.Удосконалення створеної єдиної системи екстреної медичної допомоги населенню області</w:t>
            </w:r>
          </w:p>
        </w:tc>
      </w:tr>
      <w:tr w:rsidR="00DB3A65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B3A65" w:rsidRPr="008006FF" w:rsidRDefault="00DB3A65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B3A65" w:rsidRPr="008006FF" w:rsidRDefault="00DB3A65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B3A65" w:rsidRPr="008006FF" w:rsidRDefault="00DB3A65" w:rsidP="00D85D20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7.1.4.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Дооснащення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перинатальних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центрів на базі КУ «Одеська обласна клінічна лікарня» та Ізмаїльська міська лікарня</w:t>
            </w:r>
          </w:p>
        </w:tc>
      </w:tr>
      <w:tr w:rsidR="00DB3A65" w:rsidRPr="008006FF" w:rsidTr="00CD2AE6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B3A65" w:rsidRPr="008006FF" w:rsidRDefault="00DB3A65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B3A65" w:rsidRPr="008006FF" w:rsidRDefault="00DB3A65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B3A65" w:rsidRPr="008006FF" w:rsidRDefault="00DB3A65" w:rsidP="00D85D20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7.1.5. Створення сучасних лікувальних комплексів надання спеціалізованої медичної допомоги</w:t>
            </w:r>
          </w:p>
        </w:tc>
      </w:tr>
      <w:tr w:rsidR="00DB3A65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DB3A65" w:rsidRPr="008006FF" w:rsidRDefault="00DB3A65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DB3A65" w:rsidRPr="008006FF" w:rsidRDefault="00DB3A65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DB3A65" w:rsidRPr="008006FF" w:rsidRDefault="00DB3A65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7.1.6. Соціальний захист та соціальне обслуговування населення, у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т.ч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. тимчасово переміщеним особам</w:t>
            </w:r>
          </w:p>
        </w:tc>
      </w:tr>
      <w:tr w:rsidR="00F830F6" w:rsidRPr="008006FF" w:rsidTr="00CD2AE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F830F6" w:rsidRPr="008006FF" w:rsidRDefault="00F830F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7.2. Розвиток культури та збереження об’єктів культурної спадщини</w:t>
            </w: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7.2.1. Розбудова у сільській місцевості об’єктів культури</w:t>
            </w:r>
          </w:p>
        </w:tc>
      </w:tr>
      <w:tr w:rsidR="00F830F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7.2.2. Розбудова культурних центрів</w:t>
            </w:r>
          </w:p>
        </w:tc>
      </w:tr>
      <w:tr w:rsidR="00F830F6" w:rsidRPr="008006FF" w:rsidTr="00CD2AE6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7.2.3. Збереження та популяризація розташованих в регіоні об’єктів культурної спадщини</w:t>
            </w:r>
          </w:p>
        </w:tc>
      </w:tr>
      <w:tr w:rsidR="00F830F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7.2.4. Відродження та розкриття туристичного потенціалу пам’яток архітектури, історії та археології, що мають визначне історико-культурне і наукове значення</w:t>
            </w:r>
          </w:p>
          <w:p w:rsidR="00F830F6" w:rsidRPr="008006FF" w:rsidRDefault="00F830F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7.2.5. Підтримка розвитку національних меншин та діяльності національно-культурних товариств у регіоні</w:t>
            </w:r>
          </w:p>
        </w:tc>
      </w:tr>
      <w:tr w:rsidR="00F830F6" w:rsidRPr="008006FF" w:rsidTr="00CD2AE6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7.2.6. Реставрація пам’яток історичної та культурної спадщини</w:t>
            </w:r>
          </w:p>
        </w:tc>
      </w:tr>
      <w:tr w:rsidR="00F830F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7.2.7. Захист об’єктів культурної спадщини від загрози знищення, пошкодження або руйнування </w:t>
            </w:r>
          </w:p>
        </w:tc>
      </w:tr>
      <w:tr w:rsidR="00F830F6" w:rsidRPr="008006FF" w:rsidTr="00CD2AE6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F830F6" w:rsidRPr="008006FF" w:rsidRDefault="00F830F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7.3. Розвиток фізичної культури та спорту</w:t>
            </w: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7.3.1. Підтримка розбудови у сільській місцевості об’єктів фізичної культури та забезпечення їх кваліфікованими кадрами</w:t>
            </w:r>
          </w:p>
        </w:tc>
      </w:tr>
      <w:tr w:rsidR="00F830F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7.3.2. Створення умов щодо реконструкції та збереження існуючих спортивних об’єктів</w:t>
            </w:r>
          </w:p>
        </w:tc>
      </w:tr>
      <w:tr w:rsidR="00F830F6" w:rsidRPr="008006FF" w:rsidTr="00CD2AE6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7.3.3. Створення умов щодо збереження існуючої мережі ДЮСШ, СДЮШОР, ШВСМ області</w:t>
            </w:r>
          </w:p>
        </w:tc>
      </w:tr>
      <w:tr w:rsidR="00F830F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7.3.4. Сприяння активізації фізкультурно-масової роботи за місцем мешкання громадян через мережу центрів фізичного здоров’я населення «Спорт для всіх»</w:t>
            </w:r>
          </w:p>
        </w:tc>
      </w:tr>
      <w:tr w:rsidR="00F830F6" w:rsidRPr="008006FF" w:rsidTr="00CD2AE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7.3.5. Підтримка спорту вищих досягнень</w:t>
            </w:r>
          </w:p>
        </w:tc>
      </w:tr>
      <w:tr w:rsidR="00F830F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F830F6" w:rsidRPr="008006FF" w:rsidRDefault="00F830F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F830F6" w:rsidRPr="008006FF" w:rsidRDefault="00F830F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F830F6" w:rsidRPr="008006FF" w:rsidRDefault="00F830F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7.3.6. Підтримка діяльності </w:t>
            </w:r>
            <w:r w:rsidR="001060D3"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регіональних осередків та відокремлених підрозділів всеукраїнських спортивних федерацій</w:t>
            </w:r>
          </w:p>
        </w:tc>
      </w:tr>
      <w:tr w:rsidR="00B8065D" w:rsidRPr="008006FF" w:rsidTr="00CD2AE6">
        <w:trPr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CD2AE6" w:rsidRDefault="00B8065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7.4. Реалізація державної молодіжної та сімейної політики</w:t>
            </w:r>
          </w:p>
          <w:p w:rsidR="00CD2AE6" w:rsidRPr="00CD2AE6" w:rsidRDefault="00CD2AE6" w:rsidP="00CD2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CD2AE6" w:rsidRDefault="00CD2AE6" w:rsidP="00CD2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CD2AE6" w:rsidRDefault="00CD2AE6" w:rsidP="00CD2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CD2AE6" w:rsidRDefault="00CD2AE6" w:rsidP="00CD2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CD2AE6" w:rsidRDefault="00CD2AE6" w:rsidP="00CD2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CD2AE6" w:rsidRDefault="00CD2AE6" w:rsidP="00CD2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B8065D" w:rsidRPr="00CD2AE6" w:rsidRDefault="00B8065D" w:rsidP="00CD2A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7.4.1. Сприяння проведенню заходів щодо виховання патріотизму, почуття гордості за Україну, розвитку духовності, моральності дітей та молоді, збереження традицій та підготовки молоді до служби у збройних силах України</w:t>
            </w:r>
          </w:p>
        </w:tc>
      </w:tr>
      <w:tr w:rsidR="00B8065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8065D" w:rsidRPr="008006FF" w:rsidRDefault="00B8065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7.4.2. Підтримка творчих ініціатив дітей та молоді</w:t>
            </w:r>
          </w:p>
        </w:tc>
      </w:tr>
      <w:tr w:rsidR="00B8065D" w:rsidRPr="008006FF" w:rsidTr="00CD2AE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8065D" w:rsidRPr="008006FF" w:rsidRDefault="00B8065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7.4.3. Створення умов для забезпечення зайнятості та розвитку підприємницької діяльності молоді</w:t>
            </w:r>
          </w:p>
        </w:tc>
      </w:tr>
      <w:tr w:rsidR="00B8065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8065D" w:rsidRPr="008006FF" w:rsidRDefault="00B8065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7.4.4. Сприяння проведенню заходів щодо формування здорового способу життя молоді, поваги до закону та запобігання негативним явищам у молодіжному середовищі</w:t>
            </w:r>
          </w:p>
        </w:tc>
      </w:tr>
      <w:tr w:rsidR="00B8065D" w:rsidRPr="008006FF" w:rsidTr="00CD2AE6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8065D" w:rsidRPr="008006FF" w:rsidRDefault="00B8065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7.4.5. Підтримка громадської активності молоді, забезпечення постійної співпраці органів державної влади та органів місцевого самоврядування з молодіжними громадськими організаціями, залучення молоді до проведення культурно-масових закладів та організації їх дозвілля</w:t>
            </w:r>
          </w:p>
        </w:tc>
      </w:tr>
      <w:tr w:rsidR="00B8065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8065D" w:rsidRPr="008006FF" w:rsidRDefault="00B8065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7.4.6. Забезпечення якісного та повноцінного оздоровлення дітей та підлітків</w:t>
            </w:r>
          </w:p>
        </w:tc>
      </w:tr>
      <w:tr w:rsidR="00B8065D" w:rsidRPr="008006FF" w:rsidTr="00CD2AE6">
        <w:trPr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8065D" w:rsidRPr="008006FF" w:rsidRDefault="00B8065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7.4.7. Надання всебічної підтримки сім’ям, посилення уваги суспільства до проблем багатодітних і малозабезпечених сімей, створення умов для їх всебічного розвитку</w:t>
            </w:r>
          </w:p>
        </w:tc>
      </w:tr>
      <w:tr w:rsidR="00B8065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8065D" w:rsidRPr="008006FF" w:rsidRDefault="00B8065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8065D" w:rsidRPr="008006FF" w:rsidRDefault="00B8065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8065D" w:rsidRPr="008006FF" w:rsidRDefault="00B8065D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7.4.8. Створення умов для паритетного становища жінок і чоловіків Одеської області у всіх сферах життєдіяльності суспільства, ліквідації дискримінації за ознакою статі, усунення нерівності між можливостями жінок і чоловіків реалізувати свої права</w:t>
            </w:r>
          </w:p>
        </w:tc>
      </w:tr>
      <w:tr w:rsidR="00102C22" w:rsidRPr="008006FF" w:rsidTr="00CD2AE6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5F7D7"/>
          </w:tcPr>
          <w:p w:rsidR="00054EC0" w:rsidRPr="008006FF" w:rsidRDefault="00054EC0" w:rsidP="00054EC0">
            <w:pPr>
              <w:ind w:firstLine="0"/>
              <w:rPr>
                <w:rFonts w:ascii="Arial Narrow" w:hAnsi="Arial Narrow" w:cs="Times New Roman"/>
                <w:i/>
                <w:sz w:val="32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Регіональний </w:t>
            </w:r>
            <w:r w:rsidR="008006FF" w:rsidRPr="008006FF">
              <w:rPr>
                <w:rFonts w:ascii="Arial Narrow" w:hAnsi="Arial Narrow" w:cs="Times New Roman"/>
                <w:i/>
                <w:sz w:val="32"/>
                <w:szCs w:val="28"/>
              </w:rPr>
              <w:t>пріоритет</w:t>
            </w: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 xml:space="preserve">: </w:t>
            </w:r>
          </w:p>
          <w:p w:rsidR="00102C22" w:rsidRPr="008006FF" w:rsidRDefault="00102C22" w:rsidP="00054EC0">
            <w:pPr>
              <w:ind w:firstLine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28"/>
              </w:rPr>
              <w:t>Забезпечення гідних умов життя та екологічної безпеки</w:t>
            </w:r>
          </w:p>
        </w:tc>
      </w:tr>
      <w:tr w:rsidR="00BC72D4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BC72D4" w:rsidRPr="008006FF" w:rsidRDefault="00054EC0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8.</w:t>
            </w:r>
            <w:r w:rsidR="00BC72D4"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Забезпечення комфортних умов проживання</w:t>
            </w:r>
          </w:p>
        </w:tc>
        <w:tc>
          <w:tcPr>
            <w:tcW w:w="2122" w:type="dxa"/>
            <w:vMerge w:val="restart"/>
          </w:tcPr>
          <w:p w:rsidR="00BC72D4" w:rsidRPr="008006FF" w:rsidRDefault="00BC72D4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8.1. Реформування житлово-комунальної сфери</w:t>
            </w:r>
          </w:p>
        </w:tc>
        <w:tc>
          <w:tcPr>
            <w:tcW w:w="5953" w:type="dxa"/>
          </w:tcPr>
          <w:p w:rsidR="00BC72D4" w:rsidRPr="008006FF" w:rsidRDefault="00BC72D4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8.1.1. Демонополізація ринку комунальних послуг та обслуговування житлового фонду</w:t>
            </w:r>
          </w:p>
        </w:tc>
      </w:tr>
      <w:tr w:rsidR="00BC72D4" w:rsidRPr="008006FF" w:rsidTr="00CD2AE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C72D4" w:rsidRPr="008006FF" w:rsidRDefault="00BC72D4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C72D4" w:rsidRPr="008006FF" w:rsidRDefault="00BC72D4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C72D4" w:rsidRPr="008006FF" w:rsidRDefault="00BC72D4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8.1.2. Розвиток та модернізація централізованої системи питного водопостачання</w:t>
            </w:r>
          </w:p>
        </w:tc>
      </w:tr>
      <w:tr w:rsidR="00BC72D4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BC72D4" w:rsidRPr="008006FF" w:rsidRDefault="00BC72D4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BC72D4" w:rsidRPr="008006FF" w:rsidRDefault="00BC72D4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BC72D4" w:rsidRPr="008006FF" w:rsidRDefault="00BC72D4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8.1.3. Сприяння енергозабезпеченню сільських населених пунктів на принципах сталого розвитку</w:t>
            </w:r>
          </w:p>
        </w:tc>
      </w:tr>
      <w:tr w:rsidR="00CD2AE6" w:rsidRPr="008006FF" w:rsidTr="00CD2AE6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CD2AE6" w:rsidRPr="008006FF" w:rsidRDefault="00CD2AE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CD2AE6" w:rsidRDefault="00CD2A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8.2. Підвищення якості обслуговування в комунальній сфері</w:t>
            </w:r>
          </w:p>
          <w:p w:rsidR="00CD2AE6" w:rsidRPr="008006FF" w:rsidRDefault="00CD2AE6" w:rsidP="008006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8006FF" w:rsidRDefault="00CD2AE6" w:rsidP="008006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8006FF" w:rsidRDefault="00CD2AE6" w:rsidP="008006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8006FF" w:rsidRDefault="00CD2AE6" w:rsidP="00CD2AE6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CD2AE6" w:rsidRPr="008006FF" w:rsidRDefault="00CD2AE6" w:rsidP="008006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CD2AE6" w:rsidRPr="008006FF" w:rsidRDefault="00CD2AE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8.2.1. Суцільне запровадження приладів обліку у газо-, водо- та теплопостачанні</w:t>
            </w:r>
          </w:p>
        </w:tc>
      </w:tr>
      <w:tr w:rsidR="00CD2AE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CD2AE6" w:rsidRPr="008006FF" w:rsidRDefault="00CD2AE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CD2AE6" w:rsidRPr="008006FF" w:rsidRDefault="00CD2AE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CD2AE6" w:rsidRPr="008006FF" w:rsidRDefault="00CD2AE6" w:rsidP="00DB3A65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8.2.2.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Енергомодернізація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житлового фонду</w:t>
            </w:r>
          </w:p>
        </w:tc>
      </w:tr>
      <w:tr w:rsidR="00CD2AE6" w:rsidRPr="008006FF" w:rsidTr="00CD2AE6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CD2AE6" w:rsidRPr="008006FF" w:rsidRDefault="00CD2AE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CD2AE6" w:rsidRPr="008006FF" w:rsidRDefault="00CD2A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CD2AE6" w:rsidRPr="008006FF" w:rsidRDefault="00CD2AE6" w:rsidP="00DB3A65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8.2.3. Поліпшення соціально-побутових умов в сільській місцевості шляхом підвищення рівня інженерного облаштування села</w:t>
            </w:r>
          </w:p>
        </w:tc>
      </w:tr>
      <w:tr w:rsidR="00CD2AE6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CD2AE6" w:rsidRPr="008006FF" w:rsidRDefault="00CD2AE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CD2AE6" w:rsidRPr="008006FF" w:rsidRDefault="00CD2AE6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CD2AE6" w:rsidRPr="008006FF" w:rsidRDefault="00CD2AE6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8.2.4. Залучення інвестицій у будівництво та/або реконструкцію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вулично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-дорожньої мережі, інженерн</w:t>
            </w:r>
            <w:r>
              <w:rPr>
                <w:rFonts w:ascii="Arial Narrow" w:hAnsi="Arial Narrow" w:cs="Times New Roman"/>
                <w:i/>
                <w:sz w:val="24"/>
                <w:szCs w:val="28"/>
              </w:rPr>
              <w:t>ої та соціальної інфраструктури</w:t>
            </w:r>
          </w:p>
        </w:tc>
      </w:tr>
      <w:tr w:rsidR="00CD2AE6" w:rsidRPr="008006FF" w:rsidTr="00CD2AE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CD2AE6" w:rsidRPr="008006FF" w:rsidRDefault="00CD2AE6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CD2AE6" w:rsidRPr="008006FF" w:rsidRDefault="00CD2AE6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CD2AE6" w:rsidRPr="008006FF" w:rsidRDefault="00CD2AE6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8.2.5.Поширення ІТ послуг на підприємствах комунальної сфери</w:t>
            </w:r>
          </w:p>
        </w:tc>
      </w:tr>
      <w:tr w:rsidR="00157E3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lastRenderedPageBreak/>
              <w:t>9. Створення безпечного життєвого простору</w:t>
            </w:r>
          </w:p>
        </w:tc>
        <w:tc>
          <w:tcPr>
            <w:tcW w:w="2122" w:type="dxa"/>
            <w:vMerge w:val="restart"/>
          </w:tcPr>
          <w:p w:rsidR="00157E3D" w:rsidRPr="008006FF" w:rsidRDefault="00157E3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9.1. Підвищення стандартів життя</w:t>
            </w: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9.1.1. Очищення сільської місцевості від шкідливих та непридатних до використання хімічних речовин, що застосовуються для захисту рослин</w:t>
            </w:r>
          </w:p>
        </w:tc>
      </w:tr>
      <w:tr w:rsidR="00157E3D" w:rsidRPr="008006FF" w:rsidTr="00CD2AE6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9.1.2. Розробка науково обґрунтованих заходів щодо адаптації галузей економіки області до регіональних проявів змін клімату, що відбуваються</w:t>
            </w:r>
          </w:p>
        </w:tc>
      </w:tr>
      <w:tr w:rsidR="00157E3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9.1.3. Будівництво заводів з переробки сміття та паспортизація існуючих полігонів твердих побутових відходів</w:t>
            </w:r>
          </w:p>
        </w:tc>
      </w:tr>
      <w:tr w:rsidR="00157E3D" w:rsidRPr="008006FF" w:rsidTr="00CD2A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9.1.4. Впровадження технологій сортування сміття</w:t>
            </w:r>
          </w:p>
        </w:tc>
      </w:tr>
      <w:tr w:rsidR="00157E3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157E3D" w:rsidRPr="008006FF" w:rsidRDefault="00157E3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9.2. Забезпечення екологічно сприятливих умов життя</w:t>
            </w: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9.2.1. Модернізація системи водовідведення для створення умов екологічної безпеки життя населення</w:t>
            </w:r>
          </w:p>
        </w:tc>
      </w:tr>
      <w:tr w:rsidR="00157E3D" w:rsidRPr="008006FF" w:rsidTr="00CD2AE6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9.2.2. Реалізація екологічних заходів щодо охорони навколишнього природного середовища</w:t>
            </w:r>
          </w:p>
        </w:tc>
      </w:tr>
      <w:tr w:rsidR="00157E3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157E3D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9.2.3. Збереження причорноморських лиманів: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Куяльницький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,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Тилігульський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,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Хаджибейський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,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Будацький</w:t>
            </w:r>
            <w:proofErr w:type="spellEnd"/>
          </w:p>
        </w:tc>
      </w:tr>
      <w:tr w:rsidR="00157E3D" w:rsidRPr="008006FF" w:rsidTr="00CD2AE6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9.2.4. Створення інтегрованої системи природокористування прибережними смугами</w:t>
            </w:r>
          </w:p>
        </w:tc>
      </w:tr>
      <w:tr w:rsidR="00157E3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9.2.5. Інженерний захист прибережних територій від негативних екзогенних геологічних процесів</w:t>
            </w:r>
          </w:p>
        </w:tc>
      </w:tr>
      <w:tr w:rsidR="00157E3D" w:rsidRPr="008006FF" w:rsidTr="00CD2AE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57E3D" w:rsidRPr="008006FF" w:rsidRDefault="00157E3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57E3D" w:rsidRPr="008006FF" w:rsidRDefault="00157E3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57E3D" w:rsidRPr="008006FF" w:rsidRDefault="00157E3D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9.2.6. Підвищення рівня лісистості території області та відновлення полезахисних смуг</w:t>
            </w:r>
          </w:p>
        </w:tc>
      </w:tr>
      <w:tr w:rsidR="00102C22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5F7D7"/>
          </w:tcPr>
          <w:p w:rsidR="00054EC0" w:rsidRPr="008006FF" w:rsidRDefault="00054EC0" w:rsidP="00054EC0">
            <w:pPr>
              <w:ind w:firstLine="0"/>
              <w:rPr>
                <w:rFonts w:ascii="Arial Narrow" w:hAnsi="Arial Narrow" w:cs="Times New Roman"/>
                <w:i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32"/>
              </w:rPr>
              <w:t xml:space="preserve">Регіональний </w:t>
            </w:r>
            <w:r w:rsidR="008006FF" w:rsidRPr="008006FF">
              <w:rPr>
                <w:rFonts w:ascii="Arial Narrow" w:hAnsi="Arial Narrow" w:cs="Times New Roman"/>
                <w:i/>
                <w:sz w:val="32"/>
                <w:szCs w:val="32"/>
              </w:rPr>
              <w:t>пріоритет</w:t>
            </w:r>
            <w:r w:rsidRPr="008006FF">
              <w:rPr>
                <w:rFonts w:ascii="Arial Narrow" w:hAnsi="Arial Narrow" w:cs="Times New Roman"/>
                <w:i/>
                <w:sz w:val="32"/>
                <w:szCs w:val="32"/>
              </w:rPr>
              <w:t>:</w:t>
            </w:r>
          </w:p>
          <w:p w:rsidR="00102C22" w:rsidRPr="008006FF" w:rsidRDefault="00102C22" w:rsidP="00054EC0">
            <w:pPr>
              <w:ind w:firstLine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32"/>
                <w:szCs w:val="32"/>
              </w:rPr>
              <w:t>Підвищення якості управління регіональним розвитком</w:t>
            </w:r>
          </w:p>
        </w:tc>
      </w:tr>
      <w:tr w:rsidR="00AA413F" w:rsidRPr="008006FF" w:rsidTr="00CD2AE6">
        <w:trPr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AA413F" w:rsidRPr="008006FF" w:rsidRDefault="003B079F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10.</w:t>
            </w:r>
            <w:r w:rsidR="00AA413F"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Підвищення ефективності розвитку територій</w:t>
            </w:r>
          </w:p>
        </w:tc>
        <w:tc>
          <w:tcPr>
            <w:tcW w:w="2122" w:type="dxa"/>
            <w:vMerge w:val="restart"/>
          </w:tcPr>
          <w:p w:rsidR="00AA413F" w:rsidRPr="008006FF" w:rsidRDefault="00AA413F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10.1. Покращення планування у сфері територіального розвитку</w:t>
            </w:r>
          </w:p>
        </w:tc>
        <w:tc>
          <w:tcPr>
            <w:tcW w:w="5953" w:type="dxa"/>
          </w:tcPr>
          <w:p w:rsidR="00AA413F" w:rsidRPr="008006FF" w:rsidRDefault="00AA413F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10.1.1. Активізація розроблення містобудівної документації для адміністративно-територіальних одиниць та інвестиційно привабливих територій</w:t>
            </w:r>
          </w:p>
        </w:tc>
      </w:tr>
      <w:tr w:rsidR="00AA413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AA413F" w:rsidRPr="008006FF" w:rsidRDefault="00AA413F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AA413F" w:rsidRPr="008006FF" w:rsidRDefault="00AA413F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AA413F" w:rsidRPr="008006FF" w:rsidRDefault="00AA413F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10.1.2. Підвищення рівня забезпеченості актуалізованою містобудівною документацією розробленою на оновленій топографо-геодезичній основі для надання (виділення) земельних ділянок для містобудівних потреб</w:t>
            </w:r>
          </w:p>
          <w:p w:rsidR="00AA413F" w:rsidRPr="008006FF" w:rsidRDefault="00AA413F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10.1.3. Визначення перспективних напрямків містобудівного освоєння територій регіону (точки зростання та комунікаційні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вісі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), рівномірне використання територіальних ресурсів</w:t>
            </w:r>
          </w:p>
        </w:tc>
      </w:tr>
      <w:tr w:rsidR="00AA413F" w:rsidRPr="008006FF" w:rsidTr="00CD2AE6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AA413F" w:rsidRPr="008006FF" w:rsidRDefault="00AA413F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AA413F" w:rsidRPr="008006FF" w:rsidRDefault="00AA413F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AA413F" w:rsidRPr="008006FF" w:rsidRDefault="00AA413F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10.1.4. Розвиток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субурбанізованих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зон навколо м. Одеси. Визначення меж та статусу Одеської агломерації</w:t>
            </w:r>
          </w:p>
        </w:tc>
      </w:tr>
      <w:tr w:rsidR="00AA413F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AA413F" w:rsidRPr="008006FF" w:rsidRDefault="00AA413F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AA413F" w:rsidRPr="008006FF" w:rsidRDefault="00AA413F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AA413F" w:rsidRPr="008006FF" w:rsidRDefault="00AA413F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10.1.5. Планування розвитку територій уздовж транспортних магістралей Одеса-Ізмаїл та Одеса-Київ</w:t>
            </w:r>
          </w:p>
        </w:tc>
      </w:tr>
      <w:tr w:rsidR="00AA413F" w:rsidRPr="008006FF" w:rsidTr="00CD2AE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AA413F" w:rsidRPr="008006FF" w:rsidRDefault="00AA413F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AA413F" w:rsidRPr="008006FF" w:rsidRDefault="00AA413F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AA413F" w:rsidRPr="008006FF" w:rsidRDefault="00AA413F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10.1.6. Впровадження системи містобудівного кадастру на регіональному та місцевому рівнях. Покращення доступу до містобудівної інформації суб’єктів містобудування (інвесторів, забудовників та зацікавлених осіб)</w:t>
            </w:r>
          </w:p>
        </w:tc>
      </w:tr>
      <w:tr w:rsidR="001E7D77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1E7D77" w:rsidRPr="008006FF" w:rsidRDefault="001E7D77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1E7D77" w:rsidRPr="008006FF" w:rsidRDefault="001E7D77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10.2. Активізація транскордонного співробітництва</w:t>
            </w: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10.2.1. Активізація співробітництва у рамках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Єврорегіону</w:t>
            </w:r>
            <w:proofErr w:type="spellEnd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«Нижній Дунай» шляхом реалізації спільних проектів</w:t>
            </w:r>
          </w:p>
        </w:tc>
      </w:tr>
      <w:tr w:rsidR="001E7D77" w:rsidRPr="008006FF" w:rsidTr="00CD2AE6">
        <w:trPr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E7D77" w:rsidRPr="008006FF" w:rsidRDefault="001E7D77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E7D77" w:rsidRPr="008006FF" w:rsidRDefault="001E7D77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10.2.2. Розроблення спільних проектів просторового розвитку регіонів прикордонних територій держав: (Україна-Молдова),(Україна-Румунія)</w:t>
            </w:r>
          </w:p>
        </w:tc>
      </w:tr>
      <w:tr w:rsidR="001E7D77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E7D77" w:rsidRPr="008006FF" w:rsidRDefault="001E7D77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E7D77" w:rsidRPr="008006FF" w:rsidRDefault="001E7D77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10.2.3. Посилення участі регіону у реалізації Стратегії ЄС для Дунайського регіону, реалізація Плану дій</w:t>
            </w:r>
          </w:p>
        </w:tc>
      </w:tr>
      <w:tr w:rsidR="001E7D77" w:rsidRPr="008006FF" w:rsidTr="00CD2AE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E7D77" w:rsidRPr="008006FF" w:rsidRDefault="001E7D77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E7D77" w:rsidRPr="008006FF" w:rsidRDefault="001E7D77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10.2.4. Облаштування прикордонної інфраструктури</w:t>
            </w:r>
          </w:p>
        </w:tc>
      </w:tr>
      <w:tr w:rsidR="001E7D77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1E7D77" w:rsidRPr="008006FF" w:rsidRDefault="003B079F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11.</w:t>
            </w:r>
            <w:r w:rsidR="001E7D77"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Інституційне зміцнення регіону</w:t>
            </w:r>
          </w:p>
        </w:tc>
        <w:tc>
          <w:tcPr>
            <w:tcW w:w="2122" w:type="dxa"/>
            <w:vMerge w:val="restart"/>
          </w:tcPr>
          <w:p w:rsidR="001E7D77" w:rsidRPr="008006FF" w:rsidRDefault="001E7D77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11.1. Посилення інституційної спроможності територіальних громад</w:t>
            </w: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11.1.1. Формування перспективного плану добровільного об’єднання територіальних громад</w:t>
            </w:r>
          </w:p>
        </w:tc>
      </w:tr>
      <w:tr w:rsidR="001E7D77" w:rsidRPr="008006FF" w:rsidTr="00CD2AE6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E7D77" w:rsidRPr="008006FF" w:rsidRDefault="001E7D77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E7D77" w:rsidRPr="008006FF" w:rsidRDefault="001E7D77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11.1.2.Підтримка інформаційно-роз’яснювальної роботи для об’єднаних громад та тих, що планують об’єднуватися</w:t>
            </w:r>
          </w:p>
        </w:tc>
      </w:tr>
      <w:tr w:rsidR="001E7D77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E7D77" w:rsidRPr="008006FF" w:rsidRDefault="001E7D77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E7D77" w:rsidRPr="008006FF" w:rsidRDefault="001E7D77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11.1.3. Залучення громадських організацій та фондів донорської допомоги для посилення впливу громадянського суспільства в сфері контролю за діяльністю влади</w:t>
            </w:r>
          </w:p>
        </w:tc>
      </w:tr>
      <w:tr w:rsidR="001E7D77" w:rsidRPr="008006FF" w:rsidTr="00CD2AE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1E7D77" w:rsidRPr="008006FF" w:rsidRDefault="001E7D77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1E7D77" w:rsidRPr="008006FF" w:rsidRDefault="001E7D77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1E7D77" w:rsidRPr="008006FF" w:rsidRDefault="001E7D77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11.1.4.Запровадження </w:t>
            </w:r>
            <w:r w:rsidR="00EE4502"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навчальних програм з підвищення кваліфікації в сфері публічного адміністрування</w:t>
            </w:r>
          </w:p>
        </w:tc>
      </w:tr>
      <w:tr w:rsidR="00EE4502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EE4502" w:rsidRPr="008006FF" w:rsidRDefault="00EE4502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8006FF" w:rsidRDefault="00EE4502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11.2. Формування дієвого публічно-приватного партнерства</w:t>
            </w:r>
          </w:p>
          <w:p w:rsidR="008006FF" w:rsidRPr="008006FF" w:rsidRDefault="008006FF" w:rsidP="008006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006FF" w:rsidRPr="008006FF" w:rsidRDefault="008006FF" w:rsidP="008006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006FF" w:rsidRPr="008006FF" w:rsidRDefault="008006FF" w:rsidP="008006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8006FF" w:rsidRPr="008006FF" w:rsidRDefault="008006FF" w:rsidP="00CD2AE6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  <w:p w:rsidR="00EE4502" w:rsidRPr="008006FF" w:rsidRDefault="00EE4502" w:rsidP="008006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sz w:val="24"/>
                <w:szCs w:val="28"/>
              </w:rPr>
            </w:pPr>
          </w:p>
        </w:tc>
        <w:tc>
          <w:tcPr>
            <w:tcW w:w="5953" w:type="dxa"/>
          </w:tcPr>
          <w:p w:rsidR="00EE4502" w:rsidRPr="008006FF" w:rsidRDefault="00EE4502" w:rsidP="002D5C89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11.2.1. Розвиток публічно-приватного партнерства шляхом посилення взаємодії в системі «органи місцевого самоврядування - бізнес-громада»</w:t>
            </w:r>
          </w:p>
        </w:tc>
      </w:tr>
      <w:tr w:rsidR="00EE4502" w:rsidRPr="008006FF" w:rsidTr="00CD2AE6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EE4502" w:rsidRPr="008006FF" w:rsidRDefault="00EE4502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EE4502" w:rsidRPr="008006FF" w:rsidRDefault="00EE4502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EE4502" w:rsidRPr="008006FF" w:rsidRDefault="00EE4502" w:rsidP="002D5C89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11.2.2. Забезпечення ефективної реалізації механізму публічно-приватного партнерства шляхом удосконалення місцевої нормативно-правової бази</w:t>
            </w:r>
          </w:p>
        </w:tc>
      </w:tr>
      <w:tr w:rsidR="00EE4502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EE4502" w:rsidRPr="008006FF" w:rsidRDefault="00EE4502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EE4502" w:rsidRPr="008006FF" w:rsidRDefault="00EE4502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EE4502" w:rsidRPr="008006FF" w:rsidRDefault="00EE4502" w:rsidP="00EE45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11.2.3. Створення системи моніторингу стану реалізації інвестиційних проектів</w:t>
            </w:r>
          </w:p>
        </w:tc>
      </w:tr>
      <w:tr w:rsidR="00EE4502" w:rsidRPr="008006FF" w:rsidTr="00CD2AE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EE4502" w:rsidRPr="008006FF" w:rsidRDefault="00EE4502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EE4502" w:rsidRPr="008006FF" w:rsidRDefault="00EE4502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EE4502" w:rsidRPr="008006FF" w:rsidRDefault="00EE4502" w:rsidP="00EE45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11.2.4. Створення умов для розвитку міжрегіональної та міжнародної кооперації з реалізації інвестиційних проектів </w:t>
            </w:r>
          </w:p>
        </w:tc>
      </w:tr>
      <w:tr w:rsidR="0080401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80401D" w:rsidRPr="008006FF" w:rsidRDefault="003B079F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32"/>
                <w:szCs w:val="32"/>
              </w:rPr>
            </w:pPr>
            <w:r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12.</w:t>
            </w:r>
            <w:r w:rsidR="0080401D" w:rsidRPr="008006FF">
              <w:rPr>
                <w:rFonts w:ascii="Arial Narrow" w:hAnsi="Arial Narrow" w:cs="Times New Roman"/>
                <w:bCs w:val="0"/>
                <w:sz w:val="32"/>
                <w:szCs w:val="32"/>
              </w:rPr>
              <w:t>Забезпечення суспільно-політичної злагоди у регіоні</w:t>
            </w:r>
          </w:p>
        </w:tc>
        <w:tc>
          <w:tcPr>
            <w:tcW w:w="2122" w:type="dxa"/>
            <w:vMerge w:val="restart"/>
          </w:tcPr>
          <w:p w:rsidR="0080401D" w:rsidRPr="008006FF" w:rsidRDefault="0080401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12.1. Покращення системи надання адміністративних послуг</w:t>
            </w: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12.1.1. Розвиток системи центрів надання адміністративних послуг на регіональному та місцевому рівні</w:t>
            </w:r>
          </w:p>
        </w:tc>
      </w:tr>
      <w:tr w:rsidR="0080401D" w:rsidRPr="008006FF" w:rsidTr="00CD2AE6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0401D" w:rsidRPr="008006FF" w:rsidRDefault="0080401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12.1.2. Запровадження он-лайн обслуговування для споживачів </w:t>
            </w:r>
            <w:proofErr w:type="spellStart"/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адмінпослуг</w:t>
            </w:r>
            <w:proofErr w:type="spellEnd"/>
          </w:p>
        </w:tc>
      </w:tr>
      <w:tr w:rsidR="0080401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0401D" w:rsidRPr="008006FF" w:rsidRDefault="0080401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12.1.3. Розвиток електронного урядування</w:t>
            </w:r>
          </w:p>
        </w:tc>
      </w:tr>
      <w:tr w:rsidR="0080401D" w:rsidRPr="008006FF" w:rsidTr="00CD2AE6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0401D" w:rsidRPr="008006FF" w:rsidRDefault="0080401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12.1.4. Розвиток системи регіональних (місцевих) кадастрів та реєстрів</w:t>
            </w:r>
          </w:p>
        </w:tc>
      </w:tr>
      <w:tr w:rsidR="0080401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 w:val="restart"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80401D" w:rsidRPr="008006FF" w:rsidRDefault="0080401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b/>
                <w:i/>
                <w:sz w:val="24"/>
                <w:szCs w:val="28"/>
              </w:rPr>
              <w:t>12.2. Розвиток громадського суспільства</w:t>
            </w: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12.2.1. Активне впровадження інструментів демократії участі</w:t>
            </w:r>
          </w:p>
        </w:tc>
      </w:tr>
      <w:tr w:rsidR="0080401D" w:rsidRPr="008006FF" w:rsidTr="00CD2AE6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0401D" w:rsidRPr="008006FF" w:rsidRDefault="0080401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12.2.2. Сприяння участі громадськості у реалізації політики розвитку територій</w:t>
            </w:r>
          </w:p>
        </w:tc>
      </w:tr>
      <w:tr w:rsidR="0080401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0401D" w:rsidRPr="008006FF" w:rsidRDefault="0080401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12.2.3. Розвиток соціального діалогу між найманими працівниками, їх представниками (профспілками), роботодавцями та органами виконавчої влади і органами місцевого самоврядування</w:t>
            </w:r>
          </w:p>
        </w:tc>
      </w:tr>
      <w:tr w:rsidR="0080401D" w:rsidRPr="008006FF" w:rsidTr="00CD2AE6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0401D" w:rsidRPr="008006FF" w:rsidRDefault="0080401D" w:rsidP="0080786D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>12.2.4. Сприяння діяльності громадських рад при органах влади</w:t>
            </w:r>
          </w:p>
        </w:tc>
      </w:tr>
      <w:tr w:rsidR="0080401D" w:rsidRPr="008006FF" w:rsidTr="00CD2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gridSpan w:val="2"/>
            <w:vMerge/>
          </w:tcPr>
          <w:p w:rsidR="0080401D" w:rsidRPr="008006FF" w:rsidRDefault="0080401D" w:rsidP="00896D95">
            <w:pPr>
              <w:ind w:firstLine="0"/>
              <w:jc w:val="both"/>
              <w:rPr>
                <w:rFonts w:ascii="Arial Narrow" w:hAnsi="Arial Narrow" w:cs="Times New Roman"/>
                <w:bCs w:val="0"/>
                <w:sz w:val="24"/>
                <w:szCs w:val="28"/>
              </w:rPr>
            </w:pPr>
          </w:p>
        </w:tc>
        <w:tc>
          <w:tcPr>
            <w:tcW w:w="2122" w:type="dxa"/>
            <w:vMerge/>
          </w:tcPr>
          <w:p w:rsidR="0080401D" w:rsidRPr="008006FF" w:rsidRDefault="0080401D" w:rsidP="0080786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5953" w:type="dxa"/>
          </w:tcPr>
          <w:p w:rsidR="0080401D" w:rsidRPr="008006FF" w:rsidRDefault="0080401D" w:rsidP="00EE45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i/>
                <w:sz w:val="24"/>
                <w:szCs w:val="28"/>
              </w:rPr>
            </w:pP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12.2.5. Підтримка законної діяльності громадських об’єднань </w:t>
            </w:r>
            <w:r w:rsidR="00A74329" w:rsidRPr="008006FF">
              <w:rPr>
                <w:rFonts w:ascii="Arial Narrow" w:hAnsi="Arial Narrow" w:cs="Times New Roman"/>
                <w:i/>
                <w:sz w:val="24"/>
                <w:szCs w:val="28"/>
              </w:rPr>
              <w:t>та громадських формувань з охорони порядку</w:t>
            </w:r>
            <w:r w:rsidRPr="008006FF">
              <w:rPr>
                <w:rFonts w:ascii="Arial Narrow" w:hAnsi="Arial Narrow" w:cs="Times New Roman"/>
                <w:i/>
                <w:sz w:val="24"/>
                <w:szCs w:val="28"/>
              </w:rPr>
              <w:t xml:space="preserve"> </w:t>
            </w:r>
          </w:p>
        </w:tc>
      </w:tr>
    </w:tbl>
    <w:p w:rsidR="00205903" w:rsidRPr="00032B72" w:rsidRDefault="00205903" w:rsidP="00AA637B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B079F" w:rsidRPr="00032B72" w:rsidRDefault="003B079F" w:rsidP="003B079F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B079F" w:rsidRPr="00032B72" w:rsidSect="00A370D5">
      <w:headerReference w:type="default" r:id="rId20"/>
      <w:footerReference w:type="default" r:id="rId21"/>
      <w:pgSz w:w="11906" w:h="16838"/>
      <w:pgMar w:top="358" w:right="851" w:bottom="170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9F8" w:rsidRDefault="004F09F8" w:rsidP="00982F32">
      <w:r>
        <w:separator/>
      </w:r>
    </w:p>
  </w:endnote>
  <w:endnote w:type="continuationSeparator" w:id="0">
    <w:p w:rsidR="004F09F8" w:rsidRDefault="004F09F8" w:rsidP="00982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2968287"/>
      <w:docPartObj>
        <w:docPartGallery w:val="Page Numbers (Bottom of Page)"/>
        <w:docPartUnique/>
      </w:docPartObj>
    </w:sdtPr>
    <w:sdtEndPr/>
    <w:sdtContent>
      <w:p w:rsidR="00680337" w:rsidRDefault="00A370D5" w:rsidP="00A370D5">
        <w:pPr>
          <w:pStyle w:val="a9"/>
          <w:ind w:left="-1134" w:firstLine="0"/>
          <w:jc w:val="right"/>
        </w:pPr>
        <w:r>
          <w:rPr>
            <w:noProof/>
            <w:lang w:eastAsia="uk-UA"/>
          </w:rPr>
          <w:drawing>
            <wp:inline distT="0" distB="0" distL="0" distR="0" wp14:anchorId="68D33218" wp14:editId="09359F42">
              <wp:extent cx="7562850" cy="609600"/>
              <wp:effectExtent l="0" t="0" r="0" b="0"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3833" cy="609679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680337">
          <w:fldChar w:fldCharType="begin"/>
        </w:r>
        <w:r w:rsidR="00680337">
          <w:instrText>PAGE   \* MERGEFORMAT</w:instrText>
        </w:r>
        <w:r w:rsidR="00680337">
          <w:fldChar w:fldCharType="separate"/>
        </w:r>
        <w:r w:rsidR="00E42A77" w:rsidRPr="00E42A77">
          <w:rPr>
            <w:noProof/>
            <w:lang w:val="ru-RU"/>
          </w:rPr>
          <w:t>12</w:t>
        </w:r>
        <w:r w:rsidR="00680337">
          <w:fldChar w:fldCharType="end"/>
        </w:r>
      </w:p>
    </w:sdtContent>
  </w:sdt>
  <w:p w:rsidR="00680337" w:rsidRDefault="00680337" w:rsidP="00DE251B">
    <w:pPr>
      <w:pStyle w:val="a9"/>
      <w:ind w:left="-1417" w:firstLine="0"/>
    </w:pPr>
    <w:r>
      <w:rPr>
        <w:noProof/>
        <w:lang w:eastAsia="uk-UA"/>
      </w:rPr>
      <w:drawing>
        <wp:anchor distT="0" distB="0" distL="114300" distR="114300" simplePos="0" relativeHeight="251658240" behindDoc="1" locked="0" layoutInCell="1" allowOverlap="1" wp14:anchorId="736AC9D9" wp14:editId="62CE7C2C">
          <wp:simplePos x="0" y="0"/>
          <wp:positionH relativeFrom="column">
            <wp:posOffset>-60325</wp:posOffset>
          </wp:positionH>
          <wp:positionV relativeFrom="paragraph">
            <wp:posOffset>10013950</wp:posOffset>
          </wp:positionV>
          <wp:extent cx="7660005" cy="617220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00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9F8" w:rsidRDefault="004F09F8" w:rsidP="00982F32">
      <w:r>
        <w:separator/>
      </w:r>
    </w:p>
  </w:footnote>
  <w:footnote w:type="continuationSeparator" w:id="0">
    <w:p w:rsidR="004F09F8" w:rsidRDefault="004F09F8" w:rsidP="00982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337" w:rsidRPr="00D6035F" w:rsidRDefault="00A370D5" w:rsidP="00D6035F">
    <w:pPr>
      <w:ind w:left="-993" w:right="-428" w:firstLine="0"/>
      <w:rPr>
        <w:rFonts w:ascii="Times New Roman" w:eastAsia="Times New Roman" w:hAnsi="Times New Roman"/>
        <w:b/>
        <w:i/>
        <w:color w:val="002060"/>
        <w:sz w:val="20"/>
        <w:szCs w:val="28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F2B64F" wp14:editId="2548C2ED">
              <wp:simplePos x="0" y="0"/>
              <wp:positionH relativeFrom="column">
                <wp:posOffset>-548005</wp:posOffset>
              </wp:positionH>
              <wp:positionV relativeFrom="paragraph">
                <wp:posOffset>168275</wp:posOffset>
              </wp:positionV>
              <wp:extent cx="7153275" cy="0"/>
              <wp:effectExtent l="38100" t="38100" r="66675" b="95250"/>
              <wp:wrapNone/>
              <wp:docPr id="8" name="Прямая соединительная линия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  <a:prstDash val="sysDot"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BA034B" id="Прямая соединительная линия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.15pt,13.25pt" to="520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IbDQIAAEAEAAAOAAAAZHJzL2Uyb0RvYy54bWysU8uO0zAU3SPxD5b3NGnRMKOo6SymKhsE&#10;FTAf4Dp2Y8kv2aZtdsAaqZ/AL7AAaaQBviH5I66dNMNLGgmRhXNt33PuPcf2/PKgJNox54XRJZ5O&#10;coyYpqYSelvi69erRxcY+UB0RaTRrMQN8/hy8fDBfG8LNjO1kRVzCEi0L/a2xHUItsgyT2umiJ8Y&#10;yzRscuMUCTB126xyZA/sSmazPH+S7Y2rrDOUeQ+ry34TLxI/54yGF5x7FpAsMfQW0ujSuIljtpiT&#10;YuuIrQUd2iD/0IUiQkPRkWpJAkFvnPiDSgnqjDc8TKhRmeFcUJY0gJpp/puaVzWxLGkBc7wdbfL/&#10;j5Y+360dElWJ4aA0UXBE7cfubXdsv7afuiPq3rXf2y/t5/am/dbedO8hvu0+QBw329th+YguopN7&#10;6wsgvNJrN8y8Xbtoy4E7Ff8gGB2S+83oPjsERGHxfHr2eHZ+hhE97WV3QOt8eMqMQjEosRQ6GkMK&#10;snvmAxSD1FNKXJY6jt5IUa2ElGnitpsr6dCOwFVYrXL4Ys8A/CUtsiyJr/s83/ilCUNeJM2ixl5V&#10;ikIjWV/wJePgI+iYpcbSDWZjQUIp02E6MkF2hHFobgTm9wOH/Ahl6XaP4On94BGRKhsdRrAS2ri/&#10;EYTDqWXe558c6HVHCzamatJ5J2vgmiZPhycV38HP8wS/e/iLHwAAAP//AwBQSwMEFAAGAAgAAAAh&#10;AAdHq67fAAAACgEAAA8AAABkcnMvZG93bnJldi54bWxMj8FOwzAMhu9IvENkJC5oS+homUrTCSEQ&#10;nJAYFecs8dqKxKmarCs8PZk4wNH2p9/fX21mZ9mEY+g9SbheCmBI2pueWgnN+9NiDSxERUZZTyjh&#10;CwNs6vOzSpXGH+kNp21sWQqhUCoJXYxDyXnQHToVln5ASre9H52KaRxbbkZ1TOHO8kyIgjvVU/rQ&#10;qQEfOtSf24OT0OvwPb1a/nx7pfePq5c8/2iaXMrLi/n+DljEOf7BcNJP6lAnp50/kAnMSlisi1VC&#10;JWRFDuwEiBuRAdv9bnhd8f8V6h8AAAD//wMAUEsBAi0AFAAGAAgAAAAhALaDOJL+AAAA4QEAABMA&#10;AAAAAAAAAAAAAAAAAAAAAFtDb250ZW50X1R5cGVzXS54bWxQSwECLQAUAAYACAAAACEAOP0h/9YA&#10;AACUAQAACwAAAAAAAAAAAAAAAAAvAQAAX3JlbHMvLnJlbHNQSwECLQAUAAYACAAAACEAz76iGw0C&#10;AABABAAADgAAAAAAAAAAAAAAAAAuAgAAZHJzL2Uyb0RvYy54bWxQSwECLQAUAAYACAAAACEAB0er&#10;rt8AAAAKAQAADwAAAAAAAAAAAAAAAABnBAAAZHJzL2Rvd25yZXYueG1sUEsFBgAAAAAEAAQA8wAA&#10;AHMFAAAAAA==&#10;" strokecolor="red" strokeweight="2pt">
              <v:stroke dashstyle="1 1"/>
              <v:shadow on="t" color="black" opacity="24903f" origin=",.5" offset="0,.55556mm"/>
            </v:line>
          </w:pict>
        </mc:Fallback>
      </mc:AlternateContent>
    </w:r>
    <w:r w:rsidR="00680337" w:rsidRPr="00D6035F">
      <w:rPr>
        <w:rFonts w:ascii="Times New Roman" w:eastAsia="Times New Roman" w:hAnsi="Times New Roman"/>
        <w:b/>
        <w:i/>
        <w:color w:val="002060"/>
        <w:sz w:val="20"/>
        <w:szCs w:val="28"/>
      </w:rPr>
      <w:t>План заходів з реалізації у 2018-2020 роках Стратегії економічного та соціального розвитку Одеської області до 2020 року</w:t>
    </w:r>
  </w:p>
  <w:p w:rsidR="00680337" w:rsidRDefault="00680337" w:rsidP="00205903">
    <w:pPr>
      <w:pStyle w:val="a7"/>
      <w:ind w:firstLine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F4F"/>
      </v:shape>
    </w:pict>
  </w:numPicBullet>
  <w:abstractNum w:abstractNumId="0" w15:restartNumberingAfterBreak="0">
    <w:nsid w:val="059D15C0"/>
    <w:multiLevelType w:val="hybridMultilevel"/>
    <w:tmpl w:val="51E093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43939"/>
    <w:multiLevelType w:val="hybridMultilevel"/>
    <w:tmpl w:val="23C22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796521"/>
    <w:multiLevelType w:val="hybridMultilevel"/>
    <w:tmpl w:val="C8AAB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4367B"/>
    <w:multiLevelType w:val="hybridMultilevel"/>
    <w:tmpl w:val="A3A22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66896"/>
    <w:multiLevelType w:val="hybridMultilevel"/>
    <w:tmpl w:val="01AED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55C88"/>
    <w:multiLevelType w:val="multilevel"/>
    <w:tmpl w:val="3AAA1B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FD97F97"/>
    <w:multiLevelType w:val="hybridMultilevel"/>
    <w:tmpl w:val="F8F68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418E9"/>
    <w:multiLevelType w:val="hybridMultilevel"/>
    <w:tmpl w:val="34A05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230F0"/>
    <w:multiLevelType w:val="hybridMultilevel"/>
    <w:tmpl w:val="2D86B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92019"/>
    <w:multiLevelType w:val="hybridMultilevel"/>
    <w:tmpl w:val="28606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80988"/>
    <w:multiLevelType w:val="hybridMultilevel"/>
    <w:tmpl w:val="BCA6E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658DE"/>
    <w:multiLevelType w:val="hybridMultilevel"/>
    <w:tmpl w:val="F38A9FB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6615740"/>
    <w:multiLevelType w:val="hybridMultilevel"/>
    <w:tmpl w:val="CEBC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6E5D31"/>
    <w:multiLevelType w:val="hybridMultilevel"/>
    <w:tmpl w:val="3F180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0585B"/>
    <w:multiLevelType w:val="hybridMultilevel"/>
    <w:tmpl w:val="B810F36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AA69A1"/>
    <w:multiLevelType w:val="hybridMultilevel"/>
    <w:tmpl w:val="05225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0739A"/>
    <w:multiLevelType w:val="hybridMultilevel"/>
    <w:tmpl w:val="7BFE2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1C66F27"/>
    <w:multiLevelType w:val="hybridMultilevel"/>
    <w:tmpl w:val="B310F7DA"/>
    <w:lvl w:ilvl="0" w:tplc="5C523110">
      <w:start w:val="1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2056105"/>
    <w:multiLevelType w:val="hybridMultilevel"/>
    <w:tmpl w:val="AAC4AD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4A50479"/>
    <w:multiLevelType w:val="hybridMultilevel"/>
    <w:tmpl w:val="7E947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A34E3"/>
    <w:multiLevelType w:val="hybridMultilevel"/>
    <w:tmpl w:val="48CE8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E3AF3"/>
    <w:multiLevelType w:val="hybridMultilevel"/>
    <w:tmpl w:val="11BCA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BD1751"/>
    <w:multiLevelType w:val="multilevel"/>
    <w:tmpl w:val="0E7E6486"/>
    <w:lvl w:ilvl="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60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3" w15:restartNumberingAfterBreak="0">
    <w:nsid w:val="595C6F9C"/>
    <w:multiLevelType w:val="hybridMultilevel"/>
    <w:tmpl w:val="06E492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99F7CC0"/>
    <w:multiLevelType w:val="multilevel"/>
    <w:tmpl w:val="2D12682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1F82E06"/>
    <w:multiLevelType w:val="hybridMultilevel"/>
    <w:tmpl w:val="D132F0C4"/>
    <w:lvl w:ilvl="0" w:tplc="042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B765940"/>
    <w:multiLevelType w:val="hybridMultilevel"/>
    <w:tmpl w:val="59FA2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09CD"/>
    <w:multiLevelType w:val="hybridMultilevel"/>
    <w:tmpl w:val="59081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FD5738"/>
    <w:multiLevelType w:val="hybridMultilevel"/>
    <w:tmpl w:val="701076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60E4A98"/>
    <w:multiLevelType w:val="hybridMultilevel"/>
    <w:tmpl w:val="864227BE"/>
    <w:lvl w:ilvl="0" w:tplc="1696DB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8117DF8"/>
    <w:multiLevelType w:val="hybridMultilevel"/>
    <w:tmpl w:val="E424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9046B"/>
    <w:multiLevelType w:val="hybridMultilevel"/>
    <w:tmpl w:val="4DB20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E374A62"/>
    <w:multiLevelType w:val="hybridMultilevel"/>
    <w:tmpl w:val="F13E6E90"/>
    <w:lvl w:ilvl="0" w:tplc="5838CADC">
      <w:start w:val="1"/>
      <w:numFmt w:val="decimal"/>
      <w:suff w:val="space"/>
      <w:lvlText w:val="%1."/>
      <w:lvlJc w:val="left"/>
      <w:pPr>
        <w:ind w:left="710" w:hanging="71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2"/>
  </w:num>
  <w:num w:numId="3">
    <w:abstractNumId w:val="14"/>
  </w:num>
  <w:num w:numId="4">
    <w:abstractNumId w:val="25"/>
  </w:num>
  <w:num w:numId="5">
    <w:abstractNumId w:val="32"/>
  </w:num>
  <w:num w:numId="6">
    <w:abstractNumId w:val="16"/>
  </w:num>
  <w:num w:numId="7">
    <w:abstractNumId w:val="8"/>
  </w:num>
  <w:num w:numId="8">
    <w:abstractNumId w:val="31"/>
  </w:num>
  <w:num w:numId="9">
    <w:abstractNumId w:val="1"/>
  </w:num>
  <w:num w:numId="10">
    <w:abstractNumId w:val="18"/>
  </w:num>
  <w:num w:numId="11">
    <w:abstractNumId w:val="28"/>
  </w:num>
  <w:num w:numId="12">
    <w:abstractNumId w:val="29"/>
  </w:num>
  <w:num w:numId="13">
    <w:abstractNumId w:val="5"/>
  </w:num>
  <w:num w:numId="14">
    <w:abstractNumId w:val="24"/>
  </w:num>
  <w:num w:numId="15">
    <w:abstractNumId w:val="21"/>
  </w:num>
  <w:num w:numId="16">
    <w:abstractNumId w:val="23"/>
  </w:num>
  <w:num w:numId="17">
    <w:abstractNumId w:val="4"/>
  </w:num>
  <w:num w:numId="18">
    <w:abstractNumId w:val="13"/>
  </w:num>
  <w:num w:numId="19">
    <w:abstractNumId w:val="12"/>
  </w:num>
  <w:num w:numId="20">
    <w:abstractNumId w:val="2"/>
  </w:num>
  <w:num w:numId="21">
    <w:abstractNumId w:val="3"/>
  </w:num>
  <w:num w:numId="22">
    <w:abstractNumId w:val="6"/>
  </w:num>
  <w:num w:numId="23">
    <w:abstractNumId w:val="27"/>
  </w:num>
  <w:num w:numId="24">
    <w:abstractNumId w:val="19"/>
  </w:num>
  <w:num w:numId="25">
    <w:abstractNumId w:val="15"/>
  </w:num>
  <w:num w:numId="26">
    <w:abstractNumId w:val="9"/>
  </w:num>
  <w:num w:numId="27">
    <w:abstractNumId w:val="10"/>
  </w:num>
  <w:num w:numId="28">
    <w:abstractNumId w:val="17"/>
  </w:num>
  <w:num w:numId="29">
    <w:abstractNumId w:val="11"/>
  </w:num>
  <w:num w:numId="30">
    <w:abstractNumId w:val="7"/>
  </w:num>
  <w:num w:numId="31">
    <w:abstractNumId w:val="20"/>
  </w:num>
  <w:num w:numId="32">
    <w:abstractNumId w:val="30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230"/>
    <w:rsid w:val="00001DAD"/>
    <w:rsid w:val="000025B3"/>
    <w:rsid w:val="00032B72"/>
    <w:rsid w:val="00054EC0"/>
    <w:rsid w:val="000661D4"/>
    <w:rsid w:val="000B6675"/>
    <w:rsid w:val="000C2C13"/>
    <w:rsid w:val="000C7BFD"/>
    <w:rsid w:val="000D66E1"/>
    <w:rsid w:val="000F2077"/>
    <w:rsid w:val="000F45D0"/>
    <w:rsid w:val="000F6ED8"/>
    <w:rsid w:val="00102C22"/>
    <w:rsid w:val="00105FB6"/>
    <w:rsid w:val="001060D3"/>
    <w:rsid w:val="00133F4F"/>
    <w:rsid w:val="00143C4D"/>
    <w:rsid w:val="00155C4A"/>
    <w:rsid w:val="00157E3D"/>
    <w:rsid w:val="00184881"/>
    <w:rsid w:val="00192CF1"/>
    <w:rsid w:val="001A6ACC"/>
    <w:rsid w:val="001B237B"/>
    <w:rsid w:val="001C190F"/>
    <w:rsid w:val="001D6FF9"/>
    <w:rsid w:val="001E7D77"/>
    <w:rsid w:val="00205903"/>
    <w:rsid w:val="00237554"/>
    <w:rsid w:val="002C0888"/>
    <w:rsid w:val="002D5C89"/>
    <w:rsid w:val="002E1D36"/>
    <w:rsid w:val="003027A1"/>
    <w:rsid w:val="003211F5"/>
    <w:rsid w:val="00337BDB"/>
    <w:rsid w:val="00353657"/>
    <w:rsid w:val="0038370F"/>
    <w:rsid w:val="00385024"/>
    <w:rsid w:val="003A78CB"/>
    <w:rsid w:val="003B079F"/>
    <w:rsid w:val="003C190E"/>
    <w:rsid w:val="003C49B5"/>
    <w:rsid w:val="003D38E8"/>
    <w:rsid w:val="003F3AF9"/>
    <w:rsid w:val="003F7492"/>
    <w:rsid w:val="0041215C"/>
    <w:rsid w:val="00413699"/>
    <w:rsid w:val="00414185"/>
    <w:rsid w:val="00414217"/>
    <w:rsid w:val="0041588A"/>
    <w:rsid w:val="00424624"/>
    <w:rsid w:val="0043263F"/>
    <w:rsid w:val="004365AB"/>
    <w:rsid w:val="00453230"/>
    <w:rsid w:val="00465F3A"/>
    <w:rsid w:val="00466A42"/>
    <w:rsid w:val="00473D0E"/>
    <w:rsid w:val="00486411"/>
    <w:rsid w:val="004911BA"/>
    <w:rsid w:val="00495A98"/>
    <w:rsid w:val="004A576F"/>
    <w:rsid w:val="004A5F87"/>
    <w:rsid w:val="004C4F43"/>
    <w:rsid w:val="004F0887"/>
    <w:rsid w:val="004F09F8"/>
    <w:rsid w:val="00516424"/>
    <w:rsid w:val="005278B7"/>
    <w:rsid w:val="0056733E"/>
    <w:rsid w:val="00570D33"/>
    <w:rsid w:val="005C5857"/>
    <w:rsid w:val="005C6876"/>
    <w:rsid w:val="005E4965"/>
    <w:rsid w:val="006006E0"/>
    <w:rsid w:val="00604853"/>
    <w:rsid w:val="00611AD4"/>
    <w:rsid w:val="00614B9E"/>
    <w:rsid w:val="00615883"/>
    <w:rsid w:val="00632FBD"/>
    <w:rsid w:val="00665781"/>
    <w:rsid w:val="00680337"/>
    <w:rsid w:val="006823A0"/>
    <w:rsid w:val="00691BDB"/>
    <w:rsid w:val="00693D32"/>
    <w:rsid w:val="006A0DAD"/>
    <w:rsid w:val="006D76FF"/>
    <w:rsid w:val="006D7CD2"/>
    <w:rsid w:val="006E4FE9"/>
    <w:rsid w:val="006E7883"/>
    <w:rsid w:val="0070342A"/>
    <w:rsid w:val="00706FC0"/>
    <w:rsid w:val="00712480"/>
    <w:rsid w:val="00721252"/>
    <w:rsid w:val="007311B6"/>
    <w:rsid w:val="00732A45"/>
    <w:rsid w:val="007377CF"/>
    <w:rsid w:val="0075023F"/>
    <w:rsid w:val="00762633"/>
    <w:rsid w:val="00771D16"/>
    <w:rsid w:val="007937B6"/>
    <w:rsid w:val="007A6933"/>
    <w:rsid w:val="007D206C"/>
    <w:rsid w:val="007D5C45"/>
    <w:rsid w:val="007D5CB8"/>
    <w:rsid w:val="008006FF"/>
    <w:rsid w:val="0080401D"/>
    <w:rsid w:val="0080786D"/>
    <w:rsid w:val="00810606"/>
    <w:rsid w:val="008135B5"/>
    <w:rsid w:val="008324AA"/>
    <w:rsid w:val="008443B6"/>
    <w:rsid w:val="00852F2D"/>
    <w:rsid w:val="008924A5"/>
    <w:rsid w:val="00896D95"/>
    <w:rsid w:val="008D3619"/>
    <w:rsid w:val="008E3BF3"/>
    <w:rsid w:val="008E4122"/>
    <w:rsid w:val="008F1C6A"/>
    <w:rsid w:val="00904DB9"/>
    <w:rsid w:val="00927634"/>
    <w:rsid w:val="00952543"/>
    <w:rsid w:val="00954801"/>
    <w:rsid w:val="00976B5F"/>
    <w:rsid w:val="00982081"/>
    <w:rsid w:val="00982F32"/>
    <w:rsid w:val="00982F47"/>
    <w:rsid w:val="00985A59"/>
    <w:rsid w:val="009A715A"/>
    <w:rsid w:val="009C4F2C"/>
    <w:rsid w:val="00A064AA"/>
    <w:rsid w:val="00A27BC2"/>
    <w:rsid w:val="00A359E9"/>
    <w:rsid w:val="00A370D5"/>
    <w:rsid w:val="00A74329"/>
    <w:rsid w:val="00A9512F"/>
    <w:rsid w:val="00AA413F"/>
    <w:rsid w:val="00AA637B"/>
    <w:rsid w:val="00AC6D9E"/>
    <w:rsid w:val="00AE5602"/>
    <w:rsid w:val="00B00A1E"/>
    <w:rsid w:val="00B013DD"/>
    <w:rsid w:val="00B15196"/>
    <w:rsid w:val="00B75D39"/>
    <w:rsid w:val="00B8065D"/>
    <w:rsid w:val="00B835FD"/>
    <w:rsid w:val="00B83ABE"/>
    <w:rsid w:val="00BC3EEA"/>
    <w:rsid w:val="00BC72D4"/>
    <w:rsid w:val="00BD0AB4"/>
    <w:rsid w:val="00C13D3D"/>
    <w:rsid w:val="00C27EA6"/>
    <w:rsid w:val="00C37F9D"/>
    <w:rsid w:val="00C56948"/>
    <w:rsid w:val="00C65947"/>
    <w:rsid w:val="00CC3C47"/>
    <w:rsid w:val="00CC4365"/>
    <w:rsid w:val="00CC572A"/>
    <w:rsid w:val="00CD2AE6"/>
    <w:rsid w:val="00CD37DD"/>
    <w:rsid w:val="00CE095C"/>
    <w:rsid w:val="00CE5BCB"/>
    <w:rsid w:val="00D05641"/>
    <w:rsid w:val="00D37A33"/>
    <w:rsid w:val="00D5340C"/>
    <w:rsid w:val="00D6035F"/>
    <w:rsid w:val="00D6631F"/>
    <w:rsid w:val="00D76B37"/>
    <w:rsid w:val="00D81376"/>
    <w:rsid w:val="00D85D20"/>
    <w:rsid w:val="00D876AB"/>
    <w:rsid w:val="00DA0B9C"/>
    <w:rsid w:val="00DB3A65"/>
    <w:rsid w:val="00DC0320"/>
    <w:rsid w:val="00DC1121"/>
    <w:rsid w:val="00DC29DA"/>
    <w:rsid w:val="00DD6679"/>
    <w:rsid w:val="00DE0190"/>
    <w:rsid w:val="00DE251B"/>
    <w:rsid w:val="00DF1BBA"/>
    <w:rsid w:val="00E23705"/>
    <w:rsid w:val="00E31126"/>
    <w:rsid w:val="00E42A77"/>
    <w:rsid w:val="00E505DC"/>
    <w:rsid w:val="00E67AB9"/>
    <w:rsid w:val="00EA5BDA"/>
    <w:rsid w:val="00EB2E64"/>
    <w:rsid w:val="00EE4502"/>
    <w:rsid w:val="00EF40DE"/>
    <w:rsid w:val="00F21FE6"/>
    <w:rsid w:val="00F24ECF"/>
    <w:rsid w:val="00F372DE"/>
    <w:rsid w:val="00F512A4"/>
    <w:rsid w:val="00F66C4F"/>
    <w:rsid w:val="00F830F6"/>
    <w:rsid w:val="00F9362E"/>
    <w:rsid w:val="00F971B4"/>
    <w:rsid w:val="00FA1FF7"/>
    <w:rsid w:val="00FA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50FDDE-CA03-439E-9CA9-1A9FCE88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263F"/>
    <w:pPr>
      <w:ind w:firstLine="0"/>
      <w:jc w:val="left"/>
    </w:pPr>
    <w:rPr>
      <w:rFonts w:eastAsiaTheme="minorEastAsia"/>
      <w:lang w:eastAsia="uk-UA"/>
    </w:rPr>
  </w:style>
  <w:style w:type="character" w:customStyle="1" w:styleId="a4">
    <w:name w:val="Без интервала Знак"/>
    <w:basedOn w:val="a0"/>
    <w:link w:val="a3"/>
    <w:uiPriority w:val="1"/>
    <w:rsid w:val="0043263F"/>
    <w:rPr>
      <w:rFonts w:eastAsiaTheme="minorEastAsia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432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63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82F32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2F32"/>
  </w:style>
  <w:style w:type="paragraph" w:styleId="a9">
    <w:name w:val="footer"/>
    <w:basedOn w:val="a"/>
    <w:link w:val="aa"/>
    <w:uiPriority w:val="99"/>
    <w:unhideWhenUsed/>
    <w:rsid w:val="00982F32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82F32"/>
  </w:style>
  <w:style w:type="table" w:styleId="ab">
    <w:name w:val="Table Grid"/>
    <w:basedOn w:val="a1"/>
    <w:uiPriority w:val="39"/>
    <w:rsid w:val="00982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6A0DAD"/>
    <w:pPr>
      <w:ind w:left="720"/>
      <w:contextualSpacing/>
    </w:pPr>
  </w:style>
  <w:style w:type="table" w:styleId="2-2">
    <w:name w:val="Medium Shading 2 Accent 2"/>
    <w:basedOn w:val="a1"/>
    <w:uiPriority w:val="64"/>
    <w:rsid w:val="006A0D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EF40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EF40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0">
    <w:name w:val="Light List Accent 1"/>
    <w:basedOn w:val="a1"/>
    <w:uiPriority w:val="61"/>
    <w:rsid w:val="00EF40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20">
    <w:name w:val="Medium List 2 Accent 2"/>
    <w:basedOn w:val="a1"/>
    <w:uiPriority w:val="66"/>
    <w:rsid w:val="00EF40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2">
    <w:name w:val="Medium List 1 Accent 2"/>
    <w:basedOn w:val="a1"/>
    <w:uiPriority w:val="65"/>
    <w:rsid w:val="00EF40DE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-2">
    <w:name w:val="Light List Accent 2"/>
    <w:basedOn w:val="a1"/>
    <w:uiPriority w:val="61"/>
    <w:rsid w:val="00706FC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1">
    <w:name w:val="Сетка таблицы1"/>
    <w:basedOn w:val="a1"/>
    <w:next w:val="ab"/>
    <w:uiPriority w:val="39"/>
    <w:rsid w:val="00927634"/>
    <w:pPr>
      <w:ind w:firstLine="0"/>
      <w:jc w:val="left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0C7BFD"/>
    <w:rPr>
      <w:color w:val="0000FF"/>
      <w:u w:val="single"/>
    </w:rPr>
  </w:style>
  <w:style w:type="character" w:styleId="ae">
    <w:name w:val="Subtle Emphasis"/>
    <w:basedOn w:val="a0"/>
    <w:uiPriority w:val="19"/>
    <w:qFormat/>
    <w:rsid w:val="000C7BFD"/>
    <w:rPr>
      <w:i/>
      <w:iCs/>
      <w:color w:val="808080" w:themeColor="text1" w:themeTint="7F"/>
    </w:rPr>
  </w:style>
  <w:style w:type="paragraph" w:styleId="2">
    <w:name w:val="Quote"/>
    <w:basedOn w:val="a"/>
    <w:next w:val="a"/>
    <w:link w:val="20"/>
    <w:uiPriority w:val="29"/>
    <w:qFormat/>
    <w:rsid w:val="000C7BFD"/>
    <w:pPr>
      <w:spacing w:after="160" w:line="259" w:lineRule="auto"/>
      <w:ind w:firstLine="0"/>
      <w:jc w:val="left"/>
    </w:pPr>
    <w:rPr>
      <w:i/>
      <w:iCs/>
      <w:color w:val="000000" w:themeColor="text1"/>
      <w:lang w:val="ru-RU"/>
    </w:rPr>
  </w:style>
  <w:style w:type="character" w:customStyle="1" w:styleId="20">
    <w:name w:val="Цитата 2 Знак"/>
    <w:basedOn w:val="a0"/>
    <w:link w:val="2"/>
    <w:uiPriority w:val="29"/>
    <w:rsid w:val="000C7BFD"/>
    <w:rPr>
      <w:i/>
      <w:iCs/>
      <w:color w:val="000000" w:themeColor="text1"/>
      <w:lang w:val="ru-RU"/>
    </w:rPr>
  </w:style>
  <w:style w:type="character" w:customStyle="1" w:styleId="apple-converted-space">
    <w:name w:val="apple-converted-space"/>
    <w:basedOn w:val="a0"/>
    <w:rsid w:val="000C7BFD"/>
  </w:style>
  <w:style w:type="character" w:styleId="af">
    <w:name w:val="Emphasis"/>
    <w:basedOn w:val="a0"/>
    <w:uiPriority w:val="20"/>
    <w:qFormat/>
    <w:rsid w:val="000C7BFD"/>
    <w:rPr>
      <w:i/>
      <w:iCs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0C7BF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0C7BF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Title"/>
    <w:basedOn w:val="a"/>
    <w:next w:val="a"/>
    <w:link w:val="af1"/>
    <w:uiPriority w:val="10"/>
    <w:qFormat/>
    <w:rsid w:val="000C7BFD"/>
    <w:pPr>
      <w:pBdr>
        <w:bottom w:val="single" w:sz="8" w:space="4" w:color="4F81BD" w:themeColor="accent1"/>
      </w:pBdr>
      <w:spacing w:after="300"/>
      <w:ind w:firstLine="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f1">
    <w:name w:val="Заголовок Знак"/>
    <w:basedOn w:val="a0"/>
    <w:link w:val="af0"/>
    <w:uiPriority w:val="10"/>
    <w:rsid w:val="000C7B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customStyle="1" w:styleId="rvps2">
    <w:name w:val="rvps2"/>
    <w:basedOn w:val="a"/>
    <w:rsid w:val="000C7BF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ody Text Indent"/>
    <w:basedOn w:val="a"/>
    <w:link w:val="af3"/>
    <w:unhideWhenUsed/>
    <w:rsid w:val="000C7BFD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lang w:val="ru-RU"/>
    </w:rPr>
  </w:style>
  <w:style w:type="character" w:customStyle="1" w:styleId="af3">
    <w:name w:val="Основной текст с отступом Знак"/>
    <w:basedOn w:val="a0"/>
    <w:link w:val="af2"/>
    <w:rsid w:val="000C7BFD"/>
    <w:rPr>
      <w:rFonts w:ascii="Calibri" w:eastAsia="Calibri" w:hAnsi="Calibri" w:cs="Times New Roman"/>
      <w:lang w:val="ru-RU"/>
    </w:rPr>
  </w:style>
  <w:style w:type="table" w:styleId="-20">
    <w:name w:val="Light Grid Accent 2"/>
    <w:basedOn w:val="a1"/>
    <w:uiPriority w:val="62"/>
    <w:rsid w:val="0076263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f4">
    <w:name w:val="Normal (Web)"/>
    <w:basedOn w:val="a"/>
    <w:uiPriority w:val="99"/>
    <w:rsid w:val="003F7492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1-20">
    <w:name w:val="Medium Shading 1 Accent 2"/>
    <w:basedOn w:val="a1"/>
    <w:uiPriority w:val="63"/>
    <w:rsid w:val="006D76FF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3">
    <w:name w:val="Сетка таблицы2"/>
    <w:basedOn w:val="a1"/>
    <w:next w:val="ab"/>
    <w:uiPriority w:val="39"/>
    <w:rsid w:val="00DA0B9C"/>
    <w:pPr>
      <w:ind w:firstLine="0"/>
      <w:jc w:val="left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F2D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-45">
    <w:name w:val="List Table 4 Accent 5"/>
    <w:basedOn w:val="a1"/>
    <w:uiPriority w:val="49"/>
    <w:rsid w:val="008006F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af5">
    <w:name w:val="annotation reference"/>
    <w:basedOn w:val="a0"/>
    <w:uiPriority w:val="99"/>
    <w:semiHidden/>
    <w:unhideWhenUsed/>
    <w:rsid w:val="006158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158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15883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15883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158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png"/><Relationship Id="rId1" Type="http://schemas.openxmlformats.org/officeDocument/2006/relationships/image" Target="../media/image3.jpeg"/><Relationship Id="rId4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jpeg"/><Relationship Id="rId1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08817D-90B2-45D4-B122-D3BF12F22A7D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CBB6C155-A542-4DD2-8C57-4DDEF9AE00A6}">
      <dgm:prSet phldrT="[Текст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605263A-0A55-4CA9-9F74-39EB5D309849}" type="parTrans" cxnId="{D62ED14F-ED9F-4247-98A0-57D2804D5151}">
      <dgm:prSet/>
      <dgm:spPr/>
      <dgm:t>
        <a:bodyPr/>
        <a:lstStyle/>
        <a:p>
          <a:endParaRPr lang="ru-RU"/>
        </a:p>
      </dgm:t>
    </dgm:pt>
    <dgm:pt modelId="{307CBFA0-9896-432B-87E2-1C0EC2DB3605}" type="sibTrans" cxnId="{D62ED14F-ED9F-4247-98A0-57D2804D5151}">
      <dgm:prSet/>
      <dgm:spPr/>
      <dgm:t>
        <a:bodyPr/>
        <a:lstStyle/>
        <a:p>
          <a:endParaRPr lang="ru-RU"/>
        </a:p>
      </dgm:t>
    </dgm:pt>
    <dgm:pt modelId="{512BEE8E-5392-4E42-9897-B185C370FD56}">
      <dgm:prSet phldrT="[Текст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2CFE8F5-3ED5-4117-999E-05B7483C95DB}" type="parTrans" cxnId="{9BA44174-6ADB-4A11-A101-C3A7A678635E}">
      <dgm:prSet/>
      <dgm:spPr/>
      <dgm:t>
        <a:bodyPr/>
        <a:lstStyle/>
        <a:p>
          <a:endParaRPr lang="ru-RU"/>
        </a:p>
      </dgm:t>
    </dgm:pt>
    <dgm:pt modelId="{CB98D175-7D9D-4C7D-AE92-8B7D0161A0E6}" type="sibTrans" cxnId="{9BA44174-6ADB-4A11-A101-C3A7A678635E}">
      <dgm:prSet/>
      <dgm:spPr/>
      <dgm:t>
        <a:bodyPr/>
        <a:lstStyle/>
        <a:p>
          <a:endParaRPr lang="ru-RU"/>
        </a:p>
      </dgm:t>
    </dgm:pt>
    <dgm:pt modelId="{CECDED8C-78E8-4361-9665-9A4FCF23FF58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DDD34C0-8731-4963-BC33-4C47E6B0431A}" type="parTrans" cxnId="{08EAC597-1B34-4FAF-9286-15F2D5EB7038}">
      <dgm:prSet/>
      <dgm:spPr/>
      <dgm:t>
        <a:bodyPr/>
        <a:lstStyle/>
        <a:p>
          <a:endParaRPr lang="ru-RU"/>
        </a:p>
      </dgm:t>
    </dgm:pt>
    <dgm:pt modelId="{810119CE-2B38-4B68-8154-F440FFBC78CF}" type="sibTrans" cxnId="{08EAC597-1B34-4FAF-9286-15F2D5EB7038}">
      <dgm:prSet/>
      <dgm:spPr/>
      <dgm:t>
        <a:bodyPr/>
        <a:lstStyle/>
        <a:p>
          <a:endParaRPr lang="ru-RU"/>
        </a:p>
      </dgm:t>
    </dgm:pt>
    <dgm:pt modelId="{EDBFF253-3FB6-4AF5-B8DD-D46A5D164224}">
      <dgm:prSet phldrT="[Текст]" phldr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097BEDC-A8FF-45AA-B4E5-C2A79AC15724}" type="sibTrans" cxnId="{C0477335-29D6-4765-9B31-F78304148BA1}">
      <dgm:prSet/>
      <dgm:spPr/>
      <dgm:t>
        <a:bodyPr/>
        <a:lstStyle/>
        <a:p>
          <a:endParaRPr lang="ru-RU"/>
        </a:p>
      </dgm:t>
    </dgm:pt>
    <dgm:pt modelId="{C771B961-B7D7-4686-8295-7571A393BCF0}" type="parTrans" cxnId="{C0477335-29D6-4765-9B31-F78304148BA1}">
      <dgm:prSet/>
      <dgm:spPr/>
      <dgm:t>
        <a:bodyPr/>
        <a:lstStyle/>
        <a:p>
          <a:endParaRPr lang="ru-RU"/>
        </a:p>
      </dgm:t>
    </dgm:pt>
    <dgm:pt modelId="{C82D2965-4602-4786-AF4D-351053F4D056}" type="pres">
      <dgm:prSet presAssocID="{A408817D-90B2-45D4-B122-D3BF12F22A7D}" presName="compositeShape" presStyleCnt="0">
        <dgm:presLayoutVars>
          <dgm:chMax val="7"/>
          <dgm:dir/>
          <dgm:resizeHandles val="exact"/>
        </dgm:presLayoutVars>
      </dgm:prSet>
      <dgm:spPr/>
    </dgm:pt>
    <dgm:pt modelId="{20F5696B-7B21-463C-993C-78AC672C2C4C}" type="pres">
      <dgm:prSet presAssocID="{EDBFF253-3FB6-4AF5-B8DD-D46A5D164224}" presName="circ1" presStyleLbl="vennNode1" presStyleIdx="0" presStyleCnt="4" custLinFactNeighborX="-57521" custLinFactNeighborY="-1431"/>
      <dgm:spPr/>
      <dgm:t>
        <a:bodyPr/>
        <a:lstStyle/>
        <a:p>
          <a:endParaRPr lang="ru-RU"/>
        </a:p>
      </dgm:t>
    </dgm:pt>
    <dgm:pt modelId="{6D445265-9B71-4744-BD1F-94B6CDE37447}" type="pres">
      <dgm:prSet presAssocID="{EDBFF253-3FB6-4AF5-B8DD-D46A5D164224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EBC47D-ECC5-4435-AA92-98F1032CCEB8}" type="pres">
      <dgm:prSet presAssocID="{CBB6C155-A542-4DD2-8C57-4DDEF9AE00A6}" presName="circ2" presStyleLbl="vennNode1" presStyleIdx="1" presStyleCnt="4" custLinFactNeighborX="7216" custLinFactNeighborY="49302"/>
      <dgm:spPr/>
      <dgm:t>
        <a:bodyPr/>
        <a:lstStyle/>
        <a:p>
          <a:endParaRPr lang="ru-RU"/>
        </a:p>
      </dgm:t>
    </dgm:pt>
    <dgm:pt modelId="{823D3F78-47E6-4E57-98B5-61807A68A537}" type="pres">
      <dgm:prSet presAssocID="{CBB6C155-A542-4DD2-8C57-4DDEF9AE00A6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963403-DF81-4CF3-8E36-D72A79E34475}" type="pres">
      <dgm:prSet presAssocID="{512BEE8E-5392-4E42-9897-B185C370FD56}" presName="circ3" presStyleLbl="vennNode1" presStyleIdx="2" presStyleCnt="4" custLinFactNeighborX="-43881" custLinFactNeighborY="-4175"/>
      <dgm:spPr/>
      <dgm:t>
        <a:bodyPr/>
        <a:lstStyle/>
        <a:p>
          <a:endParaRPr lang="ru-RU"/>
        </a:p>
      </dgm:t>
    </dgm:pt>
    <dgm:pt modelId="{ECA4F571-11FD-40B1-9DA9-0D9A90941FC4}" type="pres">
      <dgm:prSet presAssocID="{512BEE8E-5392-4E42-9897-B185C370FD56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29019B-69E2-4ECA-BC51-627860464FA1}" type="pres">
      <dgm:prSet presAssocID="{CECDED8C-78E8-4361-9665-9A4FCF23FF58}" presName="circ4" presStyleLbl="vennNode1" presStyleIdx="3" presStyleCnt="4" custLinFactNeighborX="93389" custLinFactNeighborY="-45707"/>
      <dgm:spPr/>
      <dgm:t>
        <a:bodyPr/>
        <a:lstStyle/>
        <a:p>
          <a:endParaRPr lang="ru-RU"/>
        </a:p>
      </dgm:t>
    </dgm:pt>
    <dgm:pt modelId="{54177047-1B45-4A16-A20A-9F7278C4FE0B}" type="pres">
      <dgm:prSet presAssocID="{CECDED8C-78E8-4361-9665-9A4FCF23FF58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A44174-6ADB-4A11-A101-C3A7A678635E}" srcId="{A408817D-90B2-45D4-B122-D3BF12F22A7D}" destId="{512BEE8E-5392-4E42-9897-B185C370FD56}" srcOrd="2" destOrd="0" parTransId="{02CFE8F5-3ED5-4117-999E-05B7483C95DB}" sibTransId="{CB98D175-7D9D-4C7D-AE92-8B7D0161A0E6}"/>
    <dgm:cxn modelId="{0144EA50-C016-4C24-8910-BA22526EC0AC}" type="presOf" srcId="{CBB6C155-A542-4DD2-8C57-4DDEF9AE00A6}" destId="{823D3F78-47E6-4E57-98B5-61807A68A537}" srcOrd="1" destOrd="0" presId="urn:microsoft.com/office/officeart/2005/8/layout/venn1"/>
    <dgm:cxn modelId="{498608CC-2CD3-4923-A996-B153CCEBA046}" type="presOf" srcId="{CECDED8C-78E8-4361-9665-9A4FCF23FF58}" destId="{54177047-1B45-4A16-A20A-9F7278C4FE0B}" srcOrd="1" destOrd="0" presId="urn:microsoft.com/office/officeart/2005/8/layout/venn1"/>
    <dgm:cxn modelId="{985618F5-BB07-4B8C-BFBC-5BD107FDDB96}" type="presOf" srcId="{CBB6C155-A542-4DD2-8C57-4DDEF9AE00A6}" destId="{F6EBC47D-ECC5-4435-AA92-98F1032CCEB8}" srcOrd="0" destOrd="0" presId="urn:microsoft.com/office/officeart/2005/8/layout/venn1"/>
    <dgm:cxn modelId="{5956C90C-56C6-455E-8F3E-C1F62FC8DC37}" type="presOf" srcId="{A408817D-90B2-45D4-B122-D3BF12F22A7D}" destId="{C82D2965-4602-4786-AF4D-351053F4D056}" srcOrd="0" destOrd="0" presId="urn:microsoft.com/office/officeart/2005/8/layout/venn1"/>
    <dgm:cxn modelId="{22F68735-8F6A-4ABE-8F2D-DD62202ED1B6}" type="presOf" srcId="{CECDED8C-78E8-4361-9665-9A4FCF23FF58}" destId="{D129019B-69E2-4ECA-BC51-627860464FA1}" srcOrd="0" destOrd="0" presId="urn:microsoft.com/office/officeart/2005/8/layout/venn1"/>
    <dgm:cxn modelId="{063301A9-8604-488E-A8EB-3F6C38291B1D}" type="presOf" srcId="{512BEE8E-5392-4E42-9897-B185C370FD56}" destId="{ECA4F571-11FD-40B1-9DA9-0D9A90941FC4}" srcOrd="1" destOrd="0" presId="urn:microsoft.com/office/officeart/2005/8/layout/venn1"/>
    <dgm:cxn modelId="{320D6463-F795-430A-A966-19BEBC34C54D}" type="presOf" srcId="{EDBFF253-3FB6-4AF5-B8DD-D46A5D164224}" destId="{20F5696B-7B21-463C-993C-78AC672C2C4C}" srcOrd="0" destOrd="0" presId="urn:microsoft.com/office/officeart/2005/8/layout/venn1"/>
    <dgm:cxn modelId="{D62ED14F-ED9F-4247-98A0-57D2804D5151}" srcId="{A408817D-90B2-45D4-B122-D3BF12F22A7D}" destId="{CBB6C155-A542-4DD2-8C57-4DDEF9AE00A6}" srcOrd="1" destOrd="0" parTransId="{F605263A-0A55-4CA9-9F74-39EB5D309849}" sibTransId="{307CBFA0-9896-432B-87E2-1C0EC2DB3605}"/>
    <dgm:cxn modelId="{08EAC597-1B34-4FAF-9286-15F2D5EB7038}" srcId="{A408817D-90B2-45D4-B122-D3BF12F22A7D}" destId="{CECDED8C-78E8-4361-9665-9A4FCF23FF58}" srcOrd="3" destOrd="0" parTransId="{9DDD34C0-8731-4963-BC33-4C47E6B0431A}" sibTransId="{810119CE-2B38-4B68-8154-F440FFBC78CF}"/>
    <dgm:cxn modelId="{C0477335-29D6-4765-9B31-F78304148BA1}" srcId="{A408817D-90B2-45D4-B122-D3BF12F22A7D}" destId="{EDBFF253-3FB6-4AF5-B8DD-D46A5D164224}" srcOrd="0" destOrd="0" parTransId="{C771B961-B7D7-4686-8295-7571A393BCF0}" sibTransId="{7097BEDC-A8FF-45AA-B4E5-C2A79AC15724}"/>
    <dgm:cxn modelId="{B0FFB38C-0113-4BC2-A25E-936AB6EBC516}" type="presOf" srcId="{512BEE8E-5392-4E42-9897-B185C370FD56}" destId="{30963403-DF81-4CF3-8E36-D72A79E34475}" srcOrd="0" destOrd="0" presId="urn:microsoft.com/office/officeart/2005/8/layout/venn1"/>
    <dgm:cxn modelId="{19F00393-2B85-4B13-A7AF-2EE59CC4C421}" type="presOf" srcId="{EDBFF253-3FB6-4AF5-B8DD-D46A5D164224}" destId="{6D445265-9B71-4744-BD1F-94B6CDE37447}" srcOrd="1" destOrd="0" presId="urn:microsoft.com/office/officeart/2005/8/layout/venn1"/>
    <dgm:cxn modelId="{4766DAE6-452C-4D90-986A-53DAEB284D3D}" type="presParOf" srcId="{C82D2965-4602-4786-AF4D-351053F4D056}" destId="{20F5696B-7B21-463C-993C-78AC672C2C4C}" srcOrd="0" destOrd="0" presId="urn:microsoft.com/office/officeart/2005/8/layout/venn1"/>
    <dgm:cxn modelId="{18BAEB69-F18E-42F8-BFC1-6BA2E26673E6}" type="presParOf" srcId="{C82D2965-4602-4786-AF4D-351053F4D056}" destId="{6D445265-9B71-4744-BD1F-94B6CDE37447}" srcOrd="1" destOrd="0" presId="urn:microsoft.com/office/officeart/2005/8/layout/venn1"/>
    <dgm:cxn modelId="{75A8B260-95B7-4444-8941-66B5D46FAA9C}" type="presParOf" srcId="{C82D2965-4602-4786-AF4D-351053F4D056}" destId="{F6EBC47D-ECC5-4435-AA92-98F1032CCEB8}" srcOrd="2" destOrd="0" presId="urn:microsoft.com/office/officeart/2005/8/layout/venn1"/>
    <dgm:cxn modelId="{EA6E0D1D-84C6-4478-A288-060489EB178C}" type="presParOf" srcId="{C82D2965-4602-4786-AF4D-351053F4D056}" destId="{823D3F78-47E6-4E57-98B5-61807A68A537}" srcOrd="3" destOrd="0" presId="urn:microsoft.com/office/officeart/2005/8/layout/venn1"/>
    <dgm:cxn modelId="{FD4CC7B8-F4D9-4BB7-8845-25DAA279C246}" type="presParOf" srcId="{C82D2965-4602-4786-AF4D-351053F4D056}" destId="{30963403-DF81-4CF3-8E36-D72A79E34475}" srcOrd="4" destOrd="0" presId="urn:microsoft.com/office/officeart/2005/8/layout/venn1"/>
    <dgm:cxn modelId="{7D6089FF-990C-40C4-B4F3-738B15C17696}" type="presParOf" srcId="{C82D2965-4602-4786-AF4D-351053F4D056}" destId="{ECA4F571-11FD-40B1-9DA9-0D9A90941FC4}" srcOrd="5" destOrd="0" presId="urn:microsoft.com/office/officeart/2005/8/layout/venn1"/>
    <dgm:cxn modelId="{C7F61DC6-76ED-421D-8936-4A36BEE911CB}" type="presParOf" srcId="{C82D2965-4602-4786-AF4D-351053F4D056}" destId="{D129019B-69E2-4ECA-BC51-627860464FA1}" srcOrd="6" destOrd="0" presId="urn:microsoft.com/office/officeart/2005/8/layout/venn1"/>
    <dgm:cxn modelId="{0840753D-456C-4559-BDE5-FD6DC32F36D8}" type="presParOf" srcId="{C82D2965-4602-4786-AF4D-351053F4D056}" destId="{54177047-1B45-4A16-A20A-9F7278C4FE0B}" srcOrd="7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666F6FA-1E52-4AAF-BA97-E36B3E5BC11F}" type="doc">
      <dgm:prSet loTypeId="urn:microsoft.com/office/officeart/2008/layout/VerticalAccent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uk-UA"/>
        </a:p>
      </dgm:t>
    </dgm:pt>
    <dgm:pt modelId="{7EAEC755-9F47-43F3-9582-AEE1558DAF88}">
      <dgm:prSet phldrT="[Текст]" custT="1"/>
      <dgm:spPr/>
      <dgm:t>
        <a:bodyPr/>
        <a:lstStyle/>
        <a:p>
          <a:pPr algn="ctr"/>
          <a:r>
            <a:rPr lang="uk-UA" sz="1800" b="1">
              <a:solidFill>
                <a:srgbClr val="002060"/>
              </a:solidFill>
            </a:rPr>
            <a:t>Бачення майбутнього</a:t>
          </a:r>
        </a:p>
      </dgm:t>
    </dgm:pt>
    <dgm:pt modelId="{3F762ADD-7A2A-424B-8F92-40615EAC1366}" type="parTrans" cxnId="{E1D8F9D3-C342-4772-BCF0-F8BBA0F10804}">
      <dgm:prSet/>
      <dgm:spPr/>
      <dgm:t>
        <a:bodyPr/>
        <a:lstStyle/>
        <a:p>
          <a:pPr algn="ctr"/>
          <a:endParaRPr lang="uk-UA"/>
        </a:p>
      </dgm:t>
    </dgm:pt>
    <dgm:pt modelId="{E842751A-3D27-4FF4-8B5C-1DAF5EA842CE}" type="sibTrans" cxnId="{E1D8F9D3-C342-4772-BCF0-F8BBA0F10804}">
      <dgm:prSet/>
      <dgm:spPr/>
      <dgm:t>
        <a:bodyPr/>
        <a:lstStyle/>
        <a:p>
          <a:pPr algn="ctr"/>
          <a:endParaRPr lang="uk-UA"/>
        </a:p>
      </dgm:t>
    </dgm:pt>
    <dgm:pt modelId="{47E277D7-0E2C-4C20-AB43-C1DD92F8C6D1}">
      <dgm:prSet phldrT="[Текст]" custT="1"/>
      <dgm:spPr/>
      <dgm:t>
        <a:bodyPr/>
        <a:lstStyle/>
        <a:p>
          <a:pPr algn="ctr"/>
          <a:r>
            <a:rPr lang="uk-UA" sz="1400" b="1" i="0">
              <a:solidFill>
                <a:srgbClr val="002060"/>
              </a:solidFill>
            </a:rPr>
            <a:t>Одеська область 2020 </a:t>
          </a:r>
          <a:r>
            <a:rPr lang="uk-UA" sz="1400" i="0">
              <a:solidFill>
                <a:srgbClr val="002060"/>
              </a:solidFill>
            </a:rPr>
            <a:t>- </a:t>
          </a:r>
          <a:r>
            <a:rPr lang="uk-UA" sz="1400" b="1" i="1">
              <a:solidFill>
                <a:srgbClr val="002060"/>
              </a:solidFill>
            </a:rPr>
            <a:t>це міжнародний логістичний та туристично-рекреаційний центр півдня України з конкурентоспроможною економікою, де налагоджений діалог між владою та суспільством для гармонійного розвитку особистості і  створення безпечних та якісних умов життя на принципах сталого розвитку</a:t>
          </a:r>
          <a:endParaRPr lang="uk-UA" sz="1400">
            <a:solidFill>
              <a:srgbClr val="002060"/>
            </a:solidFill>
          </a:endParaRPr>
        </a:p>
      </dgm:t>
    </dgm:pt>
    <dgm:pt modelId="{9C2E1F83-086D-40F2-91ED-B1DE61FD6DEE}" type="parTrans" cxnId="{5CC4423B-4A0A-4059-9D98-21D1F987B2D1}">
      <dgm:prSet/>
      <dgm:spPr/>
      <dgm:t>
        <a:bodyPr/>
        <a:lstStyle/>
        <a:p>
          <a:pPr algn="ctr"/>
          <a:endParaRPr lang="uk-UA"/>
        </a:p>
      </dgm:t>
    </dgm:pt>
    <dgm:pt modelId="{7625DA49-306F-4737-8759-A30EAE1D28EE}" type="sibTrans" cxnId="{5CC4423B-4A0A-4059-9D98-21D1F987B2D1}">
      <dgm:prSet/>
      <dgm:spPr/>
      <dgm:t>
        <a:bodyPr/>
        <a:lstStyle/>
        <a:p>
          <a:pPr algn="ctr"/>
          <a:endParaRPr lang="uk-UA"/>
        </a:p>
      </dgm:t>
    </dgm:pt>
    <dgm:pt modelId="{59E52BE2-C6AA-419B-A7EF-8C15701751B0}">
      <dgm:prSet phldrT="[Текст]" custT="1"/>
      <dgm:spPr/>
      <dgm:t>
        <a:bodyPr/>
        <a:lstStyle/>
        <a:p>
          <a:pPr algn="ctr"/>
          <a:r>
            <a:rPr lang="uk-UA" sz="1800" b="1">
              <a:solidFill>
                <a:srgbClr val="002060"/>
              </a:solidFill>
            </a:rPr>
            <a:t>Місія</a:t>
          </a:r>
          <a:endParaRPr lang="uk-UA" sz="1600" b="1">
            <a:solidFill>
              <a:srgbClr val="002060"/>
            </a:solidFill>
          </a:endParaRPr>
        </a:p>
      </dgm:t>
    </dgm:pt>
    <dgm:pt modelId="{4F53E692-390B-49F9-AC90-4DD6AAC15B81}" type="parTrans" cxnId="{70F57B3E-F047-47E2-916E-B309841BA775}">
      <dgm:prSet/>
      <dgm:spPr/>
      <dgm:t>
        <a:bodyPr/>
        <a:lstStyle/>
        <a:p>
          <a:pPr algn="ctr"/>
          <a:endParaRPr lang="uk-UA"/>
        </a:p>
      </dgm:t>
    </dgm:pt>
    <dgm:pt modelId="{17065C49-E2E8-4A75-B475-5F594AA33559}" type="sibTrans" cxnId="{70F57B3E-F047-47E2-916E-B309841BA775}">
      <dgm:prSet/>
      <dgm:spPr/>
      <dgm:t>
        <a:bodyPr/>
        <a:lstStyle/>
        <a:p>
          <a:pPr algn="ctr"/>
          <a:endParaRPr lang="uk-UA"/>
        </a:p>
      </dgm:t>
    </dgm:pt>
    <dgm:pt modelId="{9ACD814C-C992-49D2-95AD-21FEB10B0792}">
      <dgm:prSet phldrT="[Текст]" custT="1"/>
      <dgm:spPr/>
      <dgm:t>
        <a:bodyPr/>
        <a:lstStyle/>
        <a:p>
          <a:pPr algn="ctr"/>
          <a:r>
            <a:rPr lang="uk-UA" sz="1400" b="1">
              <a:solidFill>
                <a:srgbClr val="002060"/>
              </a:solidFill>
            </a:rPr>
            <a:t>Забезпечення інтеграційних зв'язків в сфері міжнародного та міжрегіонального співробітництва у напрямку покращення ділового та інвестиційного клімату шляхом застосування комунікаційних технологій</a:t>
          </a:r>
        </a:p>
      </dgm:t>
    </dgm:pt>
    <dgm:pt modelId="{4A3BC9EE-CA64-4AC3-8D84-30160945D9BD}" type="parTrans" cxnId="{E76D5CA4-35FB-4BC6-863C-AF057426612D}">
      <dgm:prSet/>
      <dgm:spPr/>
      <dgm:t>
        <a:bodyPr/>
        <a:lstStyle/>
        <a:p>
          <a:pPr algn="ctr"/>
          <a:endParaRPr lang="uk-UA"/>
        </a:p>
      </dgm:t>
    </dgm:pt>
    <dgm:pt modelId="{1145B9B3-0859-47D6-9AED-546268FA82FD}" type="sibTrans" cxnId="{E76D5CA4-35FB-4BC6-863C-AF057426612D}">
      <dgm:prSet/>
      <dgm:spPr/>
      <dgm:t>
        <a:bodyPr/>
        <a:lstStyle/>
        <a:p>
          <a:pPr algn="ctr"/>
          <a:endParaRPr lang="uk-UA"/>
        </a:p>
      </dgm:t>
    </dgm:pt>
    <dgm:pt modelId="{799CA809-241E-4768-9BFD-53D04CBCA7A1}" type="pres">
      <dgm:prSet presAssocID="{0666F6FA-1E52-4AAF-BA97-E36B3E5BC11F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uk-UA"/>
        </a:p>
      </dgm:t>
    </dgm:pt>
    <dgm:pt modelId="{45765B73-B9E4-46C1-9D6E-06FFFC2AE4D9}" type="pres">
      <dgm:prSet presAssocID="{7EAEC755-9F47-43F3-9582-AEE1558DAF88}" presName="parenttextcomposite" presStyleCnt="0"/>
      <dgm:spPr/>
      <dgm:t>
        <a:bodyPr/>
        <a:lstStyle/>
        <a:p>
          <a:endParaRPr lang="ru-RU"/>
        </a:p>
      </dgm:t>
    </dgm:pt>
    <dgm:pt modelId="{D4BDB298-AC28-4414-9129-1ED191017050}" type="pres">
      <dgm:prSet presAssocID="{7EAEC755-9F47-43F3-9582-AEE1558DAF88}" presName="parenttext" presStyleLbl="revTx" presStyleIdx="0" presStyleCnt="2" custScaleY="62897" custLinFactNeighborX="489" custLinFactNeighborY="-50155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04DDFE4-3F5F-48E3-8069-B536ECD43EFE}" type="pres">
      <dgm:prSet presAssocID="{7EAEC755-9F47-43F3-9582-AEE1558DAF88}" presName="composite" presStyleCnt="0"/>
      <dgm:spPr/>
      <dgm:t>
        <a:bodyPr/>
        <a:lstStyle/>
        <a:p>
          <a:endParaRPr lang="ru-RU"/>
        </a:p>
      </dgm:t>
    </dgm:pt>
    <dgm:pt modelId="{7C62163B-4E71-4592-A933-90A0195AB459}" type="pres">
      <dgm:prSet presAssocID="{7EAEC755-9F47-43F3-9582-AEE1558DAF88}" presName="chevron1" presStyleLbl="alignNode1" presStyleIdx="0" presStyleCnt="14" custScaleY="126380" custLinFactNeighborY="-879"/>
      <dgm:spPr/>
      <dgm:t>
        <a:bodyPr/>
        <a:lstStyle/>
        <a:p>
          <a:endParaRPr lang="ru-RU"/>
        </a:p>
      </dgm:t>
    </dgm:pt>
    <dgm:pt modelId="{51D04E62-836F-4C01-ADBE-CF1032AC98F0}" type="pres">
      <dgm:prSet presAssocID="{7EAEC755-9F47-43F3-9582-AEE1558DAF88}" presName="chevron2" presStyleLbl="alignNode1" presStyleIdx="1" presStyleCnt="14" custScaleY="138691"/>
      <dgm:spPr/>
      <dgm:t>
        <a:bodyPr/>
        <a:lstStyle/>
        <a:p>
          <a:endParaRPr lang="ru-RU"/>
        </a:p>
      </dgm:t>
    </dgm:pt>
    <dgm:pt modelId="{8019ED64-DE6B-45A1-94AD-9C1900542A26}" type="pres">
      <dgm:prSet presAssocID="{7EAEC755-9F47-43F3-9582-AEE1558DAF88}" presName="chevron3" presStyleLbl="alignNode1" presStyleIdx="2" presStyleCnt="14" custScaleY="142208"/>
      <dgm:spPr/>
      <dgm:t>
        <a:bodyPr/>
        <a:lstStyle/>
        <a:p>
          <a:endParaRPr lang="ru-RU"/>
        </a:p>
      </dgm:t>
    </dgm:pt>
    <dgm:pt modelId="{27ACB927-E3D3-43C3-9ED2-EB381BF70EE5}" type="pres">
      <dgm:prSet presAssocID="{7EAEC755-9F47-43F3-9582-AEE1558DAF88}" presName="chevron4" presStyleLbl="alignNode1" presStyleIdx="3" presStyleCnt="14" custScaleY="138691"/>
      <dgm:spPr/>
      <dgm:t>
        <a:bodyPr/>
        <a:lstStyle/>
        <a:p>
          <a:endParaRPr lang="ru-RU"/>
        </a:p>
      </dgm:t>
    </dgm:pt>
    <dgm:pt modelId="{F6FF88AC-D7ED-4BD8-A3F7-1A4E33CC98A2}" type="pres">
      <dgm:prSet presAssocID="{7EAEC755-9F47-43F3-9582-AEE1558DAF88}" presName="chevron5" presStyleLbl="alignNode1" presStyleIdx="4" presStyleCnt="14" custScaleY="135173"/>
      <dgm:spPr/>
      <dgm:t>
        <a:bodyPr/>
        <a:lstStyle/>
        <a:p>
          <a:endParaRPr lang="ru-RU"/>
        </a:p>
      </dgm:t>
    </dgm:pt>
    <dgm:pt modelId="{71FEA354-4C2A-42D7-84EA-5A6CE5BA40F8}" type="pres">
      <dgm:prSet presAssocID="{7EAEC755-9F47-43F3-9582-AEE1558DAF88}" presName="chevron6" presStyleLbl="alignNode1" presStyleIdx="5" presStyleCnt="14" custScaleY="135173"/>
      <dgm:spPr/>
      <dgm:t>
        <a:bodyPr/>
        <a:lstStyle/>
        <a:p>
          <a:endParaRPr lang="ru-RU"/>
        </a:p>
      </dgm:t>
    </dgm:pt>
    <dgm:pt modelId="{D58F8294-E192-4C4E-9EAD-2269880C4178}" type="pres">
      <dgm:prSet presAssocID="{7EAEC755-9F47-43F3-9582-AEE1558DAF88}" presName="chevron7" presStyleLbl="alignNode1" presStyleIdx="6" presStyleCnt="14" custScaleY="135173"/>
      <dgm:spPr/>
      <dgm:t>
        <a:bodyPr/>
        <a:lstStyle/>
        <a:p>
          <a:endParaRPr lang="ru-RU"/>
        </a:p>
      </dgm:t>
    </dgm:pt>
    <dgm:pt modelId="{20ED2065-5C2B-460F-83FE-EC2C4350E4F2}" type="pres">
      <dgm:prSet presAssocID="{7EAEC755-9F47-43F3-9582-AEE1558DAF88}" presName="childtext" presStyleLbl="solidFgAcc1" presStyleIdx="0" presStyleCnt="2" custScaleX="109591" custScaleY="120061" custLinFactNeighborX="-161" custLinFactNeighborY="1927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B768A39-0E6D-4D07-AFC3-030499865299}" type="pres">
      <dgm:prSet presAssocID="{E842751A-3D27-4FF4-8B5C-1DAF5EA842CE}" presName="sibTrans" presStyleCnt="0"/>
      <dgm:spPr/>
      <dgm:t>
        <a:bodyPr/>
        <a:lstStyle/>
        <a:p>
          <a:endParaRPr lang="ru-RU"/>
        </a:p>
      </dgm:t>
    </dgm:pt>
    <dgm:pt modelId="{C970DDDE-883B-42AB-A5D5-DFCA158E2875}" type="pres">
      <dgm:prSet presAssocID="{59E52BE2-C6AA-419B-A7EF-8C15701751B0}" presName="parenttextcomposite" presStyleCnt="0"/>
      <dgm:spPr/>
      <dgm:t>
        <a:bodyPr/>
        <a:lstStyle/>
        <a:p>
          <a:endParaRPr lang="ru-RU"/>
        </a:p>
      </dgm:t>
    </dgm:pt>
    <dgm:pt modelId="{1D2FF1BD-3EEF-4F04-BC07-93FE5840E6FB}" type="pres">
      <dgm:prSet presAssocID="{59E52BE2-C6AA-419B-A7EF-8C15701751B0}" presName="parenttext" presStyleLbl="revTx" presStyleIdx="1" presStyleCnt="2" custScaleY="68133">
        <dgm:presLayoutVars>
          <dgm:chMax/>
          <dgm:chPref val="2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6C2FD3-FB1C-4F95-A263-127B8720850C}" type="pres">
      <dgm:prSet presAssocID="{59E52BE2-C6AA-419B-A7EF-8C15701751B0}" presName="composite" presStyleCnt="0"/>
      <dgm:spPr/>
      <dgm:t>
        <a:bodyPr/>
        <a:lstStyle/>
        <a:p>
          <a:endParaRPr lang="ru-RU"/>
        </a:p>
      </dgm:t>
    </dgm:pt>
    <dgm:pt modelId="{E9E64858-093F-431F-8CCB-1CDB86E6B030}" type="pres">
      <dgm:prSet presAssocID="{59E52BE2-C6AA-419B-A7EF-8C15701751B0}" presName="chevron1" presStyleLbl="alignNode1" presStyleIdx="7" presStyleCnt="14"/>
      <dgm:spPr/>
      <dgm:t>
        <a:bodyPr/>
        <a:lstStyle/>
        <a:p>
          <a:endParaRPr lang="ru-RU"/>
        </a:p>
      </dgm:t>
    </dgm:pt>
    <dgm:pt modelId="{071CD35D-3142-4D26-8DDD-416744A41FCE}" type="pres">
      <dgm:prSet presAssocID="{59E52BE2-C6AA-419B-A7EF-8C15701751B0}" presName="chevron2" presStyleLbl="alignNode1" presStyleIdx="8" presStyleCnt="14"/>
      <dgm:spPr/>
      <dgm:t>
        <a:bodyPr/>
        <a:lstStyle/>
        <a:p>
          <a:endParaRPr lang="ru-RU"/>
        </a:p>
      </dgm:t>
    </dgm:pt>
    <dgm:pt modelId="{98E40316-5451-4008-BAF6-F7E90165B580}" type="pres">
      <dgm:prSet presAssocID="{59E52BE2-C6AA-419B-A7EF-8C15701751B0}" presName="chevron3" presStyleLbl="alignNode1" presStyleIdx="9" presStyleCnt="14"/>
      <dgm:spPr/>
      <dgm:t>
        <a:bodyPr/>
        <a:lstStyle/>
        <a:p>
          <a:endParaRPr lang="ru-RU"/>
        </a:p>
      </dgm:t>
    </dgm:pt>
    <dgm:pt modelId="{6EA61DD4-E089-4EDA-8976-050C3DABD7AF}" type="pres">
      <dgm:prSet presAssocID="{59E52BE2-C6AA-419B-A7EF-8C15701751B0}" presName="chevron4" presStyleLbl="alignNode1" presStyleIdx="10" presStyleCnt="14"/>
      <dgm:spPr/>
      <dgm:t>
        <a:bodyPr/>
        <a:lstStyle/>
        <a:p>
          <a:endParaRPr lang="ru-RU"/>
        </a:p>
      </dgm:t>
    </dgm:pt>
    <dgm:pt modelId="{EC7B9171-0A15-4A36-A357-82AB6265C8BE}" type="pres">
      <dgm:prSet presAssocID="{59E52BE2-C6AA-419B-A7EF-8C15701751B0}" presName="chevron5" presStyleLbl="alignNode1" presStyleIdx="11" presStyleCnt="14"/>
      <dgm:spPr/>
      <dgm:t>
        <a:bodyPr/>
        <a:lstStyle/>
        <a:p>
          <a:endParaRPr lang="ru-RU"/>
        </a:p>
      </dgm:t>
    </dgm:pt>
    <dgm:pt modelId="{EB2A9340-C4CC-43FD-8B71-927E9C43FACC}" type="pres">
      <dgm:prSet presAssocID="{59E52BE2-C6AA-419B-A7EF-8C15701751B0}" presName="chevron6" presStyleLbl="alignNode1" presStyleIdx="12" presStyleCnt="14"/>
      <dgm:spPr/>
      <dgm:t>
        <a:bodyPr/>
        <a:lstStyle/>
        <a:p>
          <a:endParaRPr lang="ru-RU"/>
        </a:p>
      </dgm:t>
    </dgm:pt>
    <dgm:pt modelId="{28934BC9-0FEA-45BC-9654-AA827B334B01}" type="pres">
      <dgm:prSet presAssocID="{59E52BE2-C6AA-419B-A7EF-8C15701751B0}" presName="chevron7" presStyleLbl="alignNode1" presStyleIdx="13" presStyleCnt="14"/>
      <dgm:spPr/>
      <dgm:t>
        <a:bodyPr/>
        <a:lstStyle/>
        <a:p>
          <a:endParaRPr lang="ru-RU"/>
        </a:p>
      </dgm:t>
    </dgm:pt>
    <dgm:pt modelId="{6F3ABFF6-3045-4FBE-B8BE-47E35D5CA648}" type="pres">
      <dgm:prSet presAssocID="{59E52BE2-C6AA-419B-A7EF-8C15701751B0}" presName="childtext" presStyleLbl="solidFgAcc1" presStyleIdx="1" presStyleCnt="2" custScaleY="84092" custLinFactNeighborX="1447" custLinFactNeighborY="-1099">
        <dgm:presLayoutVars>
          <dgm:chMax/>
          <dgm:chPref val="0"/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E1D8F9D3-C342-4772-BCF0-F8BBA0F10804}" srcId="{0666F6FA-1E52-4AAF-BA97-E36B3E5BC11F}" destId="{7EAEC755-9F47-43F3-9582-AEE1558DAF88}" srcOrd="0" destOrd="0" parTransId="{3F762ADD-7A2A-424B-8F92-40615EAC1366}" sibTransId="{E842751A-3D27-4FF4-8B5C-1DAF5EA842CE}"/>
    <dgm:cxn modelId="{5CC4423B-4A0A-4059-9D98-21D1F987B2D1}" srcId="{7EAEC755-9F47-43F3-9582-AEE1558DAF88}" destId="{47E277D7-0E2C-4C20-AB43-C1DD92F8C6D1}" srcOrd="0" destOrd="0" parTransId="{9C2E1F83-086D-40F2-91ED-B1DE61FD6DEE}" sibTransId="{7625DA49-306F-4737-8759-A30EAE1D28EE}"/>
    <dgm:cxn modelId="{4AD21586-E0C7-4C30-B9EC-14F45A4F035B}" type="presOf" srcId="{59E52BE2-C6AA-419B-A7EF-8C15701751B0}" destId="{1D2FF1BD-3EEF-4F04-BC07-93FE5840E6FB}" srcOrd="0" destOrd="0" presId="urn:microsoft.com/office/officeart/2008/layout/VerticalAccentList"/>
    <dgm:cxn modelId="{D0A87828-643D-45DD-B356-A3BC2AC49BFB}" type="presOf" srcId="{7EAEC755-9F47-43F3-9582-AEE1558DAF88}" destId="{D4BDB298-AC28-4414-9129-1ED191017050}" srcOrd="0" destOrd="0" presId="urn:microsoft.com/office/officeart/2008/layout/VerticalAccentList"/>
    <dgm:cxn modelId="{FA199D7B-767B-43E2-BCDE-DB1BD1046BD2}" type="presOf" srcId="{0666F6FA-1E52-4AAF-BA97-E36B3E5BC11F}" destId="{799CA809-241E-4768-9BFD-53D04CBCA7A1}" srcOrd="0" destOrd="0" presId="urn:microsoft.com/office/officeart/2008/layout/VerticalAccentList"/>
    <dgm:cxn modelId="{70F57B3E-F047-47E2-916E-B309841BA775}" srcId="{0666F6FA-1E52-4AAF-BA97-E36B3E5BC11F}" destId="{59E52BE2-C6AA-419B-A7EF-8C15701751B0}" srcOrd="1" destOrd="0" parTransId="{4F53E692-390B-49F9-AC90-4DD6AAC15B81}" sibTransId="{17065C49-E2E8-4A75-B475-5F594AA33559}"/>
    <dgm:cxn modelId="{E482E269-E538-49CD-9E26-509B41ADA2C0}" type="presOf" srcId="{47E277D7-0E2C-4C20-AB43-C1DD92F8C6D1}" destId="{20ED2065-5C2B-460F-83FE-EC2C4350E4F2}" srcOrd="0" destOrd="0" presId="urn:microsoft.com/office/officeart/2008/layout/VerticalAccentList"/>
    <dgm:cxn modelId="{9431D3DD-F743-41CC-8526-5C1738ED0E1C}" type="presOf" srcId="{9ACD814C-C992-49D2-95AD-21FEB10B0792}" destId="{6F3ABFF6-3045-4FBE-B8BE-47E35D5CA648}" srcOrd="0" destOrd="0" presId="urn:microsoft.com/office/officeart/2008/layout/VerticalAccentList"/>
    <dgm:cxn modelId="{E76D5CA4-35FB-4BC6-863C-AF057426612D}" srcId="{59E52BE2-C6AA-419B-A7EF-8C15701751B0}" destId="{9ACD814C-C992-49D2-95AD-21FEB10B0792}" srcOrd="0" destOrd="0" parTransId="{4A3BC9EE-CA64-4AC3-8D84-30160945D9BD}" sibTransId="{1145B9B3-0859-47D6-9AED-546268FA82FD}"/>
    <dgm:cxn modelId="{0B86C590-16C3-41B4-9C46-467B74FDA57A}" type="presParOf" srcId="{799CA809-241E-4768-9BFD-53D04CBCA7A1}" destId="{45765B73-B9E4-46C1-9D6E-06FFFC2AE4D9}" srcOrd="0" destOrd="0" presId="urn:microsoft.com/office/officeart/2008/layout/VerticalAccentList"/>
    <dgm:cxn modelId="{D8872F2F-FAC0-4CB2-B160-072552370FC3}" type="presParOf" srcId="{45765B73-B9E4-46C1-9D6E-06FFFC2AE4D9}" destId="{D4BDB298-AC28-4414-9129-1ED191017050}" srcOrd="0" destOrd="0" presId="urn:microsoft.com/office/officeart/2008/layout/VerticalAccentList"/>
    <dgm:cxn modelId="{BA582454-64B3-436E-9305-70E3906F0972}" type="presParOf" srcId="{799CA809-241E-4768-9BFD-53D04CBCA7A1}" destId="{F04DDFE4-3F5F-48E3-8069-B536ECD43EFE}" srcOrd="1" destOrd="0" presId="urn:microsoft.com/office/officeart/2008/layout/VerticalAccentList"/>
    <dgm:cxn modelId="{8FFDC0C3-089A-40EC-B37F-EC3A3CC81D8C}" type="presParOf" srcId="{F04DDFE4-3F5F-48E3-8069-B536ECD43EFE}" destId="{7C62163B-4E71-4592-A933-90A0195AB459}" srcOrd="0" destOrd="0" presId="urn:microsoft.com/office/officeart/2008/layout/VerticalAccentList"/>
    <dgm:cxn modelId="{5894169F-F6DA-445F-A03D-491D85352D1D}" type="presParOf" srcId="{F04DDFE4-3F5F-48E3-8069-B536ECD43EFE}" destId="{51D04E62-836F-4C01-ADBE-CF1032AC98F0}" srcOrd="1" destOrd="0" presId="urn:microsoft.com/office/officeart/2008/layout/VerticalAccentList"/>
    <dgm:cxn modelId="{9DF3F49B-2236-4930-B97B-E0CF05B06289}" type="presParOf" srcId="{F04DDFE4-3F5F-48E3-8069-B536ECD43EFE}" destId="{8019ED64-DE6B-45A1-94AD-9C1900542A26}" srcOrd="2" destOrd="0" presId="urn:microsoft.com/office/officeart/2008/layout/VerticalAccentList"/>
    <dgm:cxn modelId="{7274453A-549F-4B2E-8070-C352B6C3E57F}" type="presParOf" srcId="{F04DDFE4-3F5F-48E3-8069-B536ECD43EFE}" destId="{27ACB927-E3D3-43C3-9ED2-EB381BF70EE5}" srcOrd="3" destOrd="0" presId="urn:microsoft.com/office/officeart/2008/layout/VerticalAccentList"/>
    <dgm:cxn modelId="{AB9C7594-C1DD-402B-A9A7-9FC8DB41D043}" type="presParOf" srcId="{F04DDFE4-3F5F-48E3-8069-B536ECD43EFE}" destId="{F6FF88AC-D7ED-4BD8-A3F7-1A4E33CC98A2}" srcOrd="4" destOrd="0" presId="urn:microsoft.com/office/officeart/2008/layout/VerticalAccentList"/>
    <dgm:cxn modelId="{172A8348-4822-4726-8C8D-9AD97C4F036A}" type="presParOf" srcId="{F04DDFE4-3F5F-48E3-8069-B536ECD43EFE}" destId="{71FEA354-4C2A-42D7-84EA-5A6CE5BA40F8}" srcOrd="5" destOrd="0" presId="urn:microsoft.com/office/officeart/2008/layout/VerticalAccentList"/>
    <dgm:cxn modelId="{E2B13E3B-C249-48DA-AEAB-8B6F6DCFAC57}" type="presParOf" srcId="{F04DDFE4-3F5F-48E3-8069-B536ECD43EFE}" destId="{D58F8294-E192-4C4E-9EAD-2269880C4178}" srcOrd="6" destOrd="0" presId="urn:microsoft.com/office/officeart/2008/layout/VerticalAccentList"/>
    <dgm:cxn modelId="{24346D45-25E0-400E-9195-C30020E86F8A}" type="presParOf" srcId="{F04DDFE4-3F5F-48E3-8069-B536ECD43EFE}" destId="{20ED2065-5C2B-460F-83FE-EC2C4350E4F2}" srcOrd="7" destOrd="0" presId="urn:microsoft.com/office/officeart/2008/layout/VerticalAccentList"/>
    <dgm:cxn modelId="{EB85984B-BCAE-4A0F-9535-8C2AB0C1DE81}" type="presParOf" srcId="{799CA809-241E-4768-9BFD-53D04CBCA7A1}" destId="{9B768A39-0E6D-4D07-AFC3-030499865299}" srcOrd="2" destOrd="0" presId="urn:microsoft.com/office/officeart/2008/layout/VerticalAccentList"/>
    <dgm:cxn modelId="{C62C4AEC-6EA9-4CC7-B402-F4A910388C62}" type="presParOf" srcId="{799CA809-241E-4768-9BFD-53D04CBCA7A1}" destId="{C970DDDE-883B-42AB-A5D5-DFCA158E2875}" srcOrd="3" destOrd="0" presId="urn:microsoft.com/office/officeart/2008/layout/VerticalAccentList"/>
    <dgm:cxn modelId="{F1D007BA-7005-42A8-A6EF-E563283D2476}" type="presParOf" srcId="{C970DDDE-883B-42AB-A5D5-DFCA158E2875}" destId="{1D2FF1BD-3EEF-4F04-BC07-93FE5840E6FB}" srcOrd="0" destOrd="0" presId="urn:microsoft.com/office/officeart/2008/layout/VerticalAccentList"/>
    <dgm:cxn modelId="{2DA7DF99-3A35-433E-9622-0C430EB70379}" type="presParOf" srcId="{799CA809-241E-4768-9BFD-53D04CBCA7A1}" destId="{076C2FD3-FB1C-4F95-A263-127B8720850C}" srcOrd="4" destOrd="0" presId="urn:microsoft.com/office/officeart/2008/layout/VerticalAccentList"/>
    <dgm:cxn modelId="{AFF4B589-6F47-48E4-A17E-0E07EFD9C9D4}" type="presParOf" srcId="{076C2FD3-FB1C-4F95-A263-127B8720850C}" destId="{E9E64858-093F-431F-8CCB-1CDB86E6B030}" srcOrd="0" destOrd="0" presId="urn:microsoft.com/office/officeart/2008/layout/VerticalAccentList"/>
    <dgm:cxn modelId="{0B6878E3-13B4-4393-9447-734CBBD3722B}" type="presParOf" srcId="{076C2FD3-FB1C-4F95-A263-127B8720850C}" destId="{071CD35D-3142-4D26-8DDD-416744A41FCE}" srcOrd="1" destOrd="0" presId="urn:microsoft.com/office/officeart/2008/layout/VerticalAccentList"/>
    <dgm:cxn modelId="{9B76AF5A-327C-4A9E-B6F1-55C940EC2993}" type="presParOf" srcId="{076C2FD3-FB1C-4F95-A263-127B8720850C}" destId="{98E40316-5451-4008-BAF6-F7E90165B580}" srcOrd="2" destOrd="0" presId="urn:microsoft.com/office/officeart/2008/layout/VerticalAccentList"/>
    <dgm:cxn modelId="{62A8FC0C-76A0-4FF1-A2D1-387E7FEB9273}" type="presParOf" srcId="{076C2FD3-FB1C-4F95-A263-127B8720850C}" destId="{6EA61DD4-E089-4EDA-8976-050C3DABD7AF}" srcOrd="3" destOrd="0" presId="urn:microsoft.com/office/officeart/2008/layout/VerticalAccentList"/>
    <dgm:cxn modelId="{4EDB6D42-452F-4897-B11D-A66E4A4E0F57}" type="presParOf" srcId="{076C2FD3-FB1C-4F95-A263-127B8720850C}" destId="{EC7B9171-0A15-4A36-A357-82AB6265C8BE}" srcOrd="4" destOrd="0" presId="urn:microsoft.com/office/officeart/2008/layout/VerticalAccentList"/>
    <dgm:cxn modelId="{3361D13D-E356-4614-AB44-E3E944C7E3D0}" type="presParOf" srcId="{076C2FD3-FB1C-4F95-A263-127B8720850C}" destId="{EB2A9340-C4CC-43FD-8B71-927E9C43FACC}" srcOrd="5" destOrd="0" presId="urn:microsoft.com/office/officeart/2008/layout/VerticalAccentList"/>
    <dgm:cxn modelId="{2F7584EA-8FD8-4DF0-88DD-654572002C8C}" type="presParOf" srcId="{076C2FD3-FB1C-4F95-A263-127B8720850C}" destId="{28934BC9-0FEA-45BC-9654-AA827B334B01}" srcOrd="6" destOrd="0" presId="urn:microsoft.com/office/officeart/2008/layout/VerticalAccentList"/>
    <dgm:cxn modelId="{1B8B64CC-A9AD-4E62-94C7-F7D0409DB11E}" type="presParOf" srcId="{076C2FD3-FB1C-4F95-A263-127B8720850C}" destId="{6F3ABFF6-3045-4FBE-B8BE-47E35D5CA648}" srcOrd="7" destOrd="0" presId="urn:microsoft.com/office/officeart/2008/layout/VerticalAccent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F5696B-7B21-463C-993C-78AC672C2C4C}">
      <dsp:nvSpPr>
        <dsp:cNvPr id="0" name=""/>
        <dsp:cNvSpPr/>
      </dsp:nvSpPr>
      <dsp:spPr>
        <a:xfrm>
          <a:off x="0" y="15476"/>
          <a:ext cx="3145154" cy="314515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362902" y="438862"/>
        <a:ext cx="2419350" cy="997981"/>
      </dsp:txXfrm>
    </dsp:sp>
    <dsp:sp modelId="{F6EBC47D-ECC5-4435-AA92-98F1032CCEB8}">
      <dsp:nvSpPr>
        <dsp:cNvPr id="0" name=""/>
        <dsp:cNvSpPr/>
      </dsp:nvSpPr>
      <dsp:spPr>
        <a:xfrm>
          <a:off x="3341153" y="2903220"/>
          <a:ext cx="3145154" cy="314515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/>
        </a:p>
      </dsp:txBody>
      <dsp:txXfrm>
        <a:off x="5034698" y="3266122"/>
        <a:ext cx="1209675" cy="2419350"/>
      </dsp:txXfrm>
    </dsp:sp>
    <dsp:sp modelId="{30963403-DF81-4CF3-8E36-D72A79E34475}">
      <dsp:nvSpPr>
        <dsp:cNvPr id="0" name=""/>
        <dsp:cNvSpPr/>
      </dsp:nvSpPr>
      <dsp:spPr>
        <a:xfrm>
          <a:off x="342947" y="2711426"/>
          <a:ext cx="3145154" cy="314515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705849" y="4435212"/>
        <a:ext cx="2419350" cy="997981"/>
      </dsp:txXfrm>
    </dsp:sp>
    <dsp:sp modelId="{D129019B-69E2-4ECA-BC51-627860464FA1}">
      <dsp:nvSpPr>
        <dsp:cNvPr id="0" name=""/>
        <dsp:cNvSpPr/>
      </dsp:nvSpPr>
      <dsp:spPr>
        <a:xfrm>
          <a:off x="3269175" y="14054"/>
          <a:ext cx="3145154" cy="314515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3511110" y="376956"/>
        <a:ext cx="1209675" cy="24193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BDB298-AC28-4414-9129-1ED191017050}">
      <dsp:nvSpPr>
        <dsp:cNvPr id="0" name=""/>
        <dsp:cNvSpPr/>
      </dsp:nvSpPr>
      <dsp:spPr>
        <a:xfrm>
          <a:off x="-6098" y="0"/>
          <a:ext cx="5837864" cy="3338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b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>
              <a:solidFill>
                <a:srgbClr val="002060"/>
              </a:solidFill>
            </a:rPr>
            <a:t>Бачення майбутнього</a:t>
          </a:r>
        </a:p>
      </dsp:txBody>
      <dsp:txXfrm>
        <a:off x="-6098" y="0"/>
        <a:ext cx="5837864" cy="333803"/>
      </dsp:txXfrm>
    </dsp:sp>
    <dsp:sp modelId="{7C62163B-4E71-4592-A933-90A0195AB459}">
      <dsp:nvSpPr>
        <dsp:cNvPr id="0" name=""/>
        <dsp:cNvSpPr/>
      </dsp:nvSpPr>
      <dsp:spPr>
        <a:xfrm>
          <a:off x="248948" y="409894"/>
          <a:ext cx="1366060" cy="1366276"/>
        </a:xfrm>
        <a:prstGeom prst="chevron">
          <a:avLst>
            <a:gd name="adj" fmla="val 706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D04E62-836F-4C01-ADBE-CF1032AC98F0}">
      <dsp:nvSpPr>
        <dsp:cNvPr id="0" name=""/>
        <dsp:cNvSpPr/>
      </dsp:nvSpPr>
      <dsp:spPr>
        <a:xfrm>
          <a:off x="1069493" y="352851"/>
          <a:ext cx="1366060" cy="1499368"/>
        </a:xfrm>
        <a:prstGeom prst="chevron">
          <a:avLst>
            <a:gd name="adj" fmla="val 70610"/>
          </a:avLst>
        </a:prstGeom>
        <a:solidFill>
          <a:schemeClr val="accent5">
            <a:hueOff val="-764144"/>
            <a:satOff val="3062"/>
            <a:lumOff val="664"/>
            <a:alphaOff val="0"/>
          </a:schemeClr>
        </a:solidFill>
        <a:ln w="25400" cap="flat" cmpd="sng" algn="ctr">
          <a:solidFill>
            <a:schemeClr val="accent5">
              <a:hueOff val="-764144"/>
              <a:satOff val="3062"/>
              <a:lumOff val="66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19ED64-DE6B-45A1-94AD-9C1900542A26}">
      <dsp:nvSpPr>
        <dsp:cNvPr id="0" name=""/>
        <dsp:cNvSpPr/>
      </dsp:nvSpPr>
      <dsp:spPr>
        <a:xfrm>
          <a:off x="1890685" y="333840"/>
          <a:ext cx="1366060" cy="1537390"/>
        </a:xfrm>
        <a:prstGeom prst="chevron">
          <a:avLst>
            <a:gd name="adj" fmla="val 70610"/>
          </a:avLst>
        </a:prstGeom>
        <a:solidFill>
          <a:schemeClr val="accent5">
            <a:hueOff val="-1528289"/>
            <a:satOff val="6125"/>
            <a:lumOff val="1327"/>
            <a:alphaOff val="0"/>
          </a:schemeClr>
        </a:solidFill>
        <a:ln w="25400" cap="flat" cmpd="sng" algn="ctr">
          <a:solidFill>
            <a:schemeClr val="accent5">
              <a:hueOff val="-1528289"/>
              <a:satOff val="6125"/>
              <a:lumOff val="132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ACB927-E3D3-43C3-9ED2-EB381BF70EE5}">
      <dsp:nvSpPr>
        <dsp:cNvPr id="0" name=""/>
        <dsp:cNvSpPr/>
      </dsp:nvSpPr>
      <dsp:spPr>
        <a:xfrm>
          <a:off x="2711230" y="352851"/>
          <a:ext cx="1366060" cy="1499368"/>
        </a:xfrm>
        <a:prstGeom prst="chevron">
          <a:avLst>
            <a:gd name="adj" fmla="val 70610"/>
          </a:avLst>
        </a:prstGeom>
        <a:solidFill>
          <a:schemeClr val="accent5">
            <a:hueOff val="-2292433"/>
            <a:satOff val="9187"/>
            <a:lumOff val="1991"/>
            <a:alphaOff val="0"/>
          </a:schemeClr>
        </a:solidFill>
        <a:ln w="25400" cap="flat" cmpd="sng" algn="ctr">
          <a:solidFill>
            <a:schemeClr val="accent5">
              <a:hueOff val="-2292433"/>
              <a:satOff val="9187"/>
              <a:lumOff val="19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FF88AC-D7ED-4BD8-A3F7-1A4E33CC98A2}">
      <dsp:nvSpPr>
        <dsp:cNvPr id="0" name=""/>
        <dsp:cNvSpPr/>
      </dsp:nvSpPr>
      <dsp:spPr>
        <a:xfrm>
          <a:off x="3532423" y="371867"/>
          <a:ext cx="1366060" cy="1461336"/>
        </a:xfrm>
        <a:prstGeom prst="chevron">
          <a:avLst>
            <a:gd name="adj" fmla="val 70610"/>
          </a:avLst>
        </a:prstGeom>
        <a:solidFill>
          <a:schemeClr val="accent5">
            <a:hueOff val="-3056578"/>
            <a:satOff val="12250"/>
            <a:lumOff val="2655"/>
            <a:alphaOff val="0"/>
          </a:schemeClr>
        </a:solidFill>
        <a:ln w="25400" cap="flat" cmpd="sng" algn="ctr">
          <a:solidFill>
            <a:schemeClr val="accent5">
              <a:hueOff val="-3056578"/>
              <a:satOff val="12250"/>
              <a:lumOff val="265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FEA354-4C2A-42D7-84EA-5A6CE5BA40F8}">
      <dsp:nvSpPr>
        <dsp:cNvPr id="0" name=""/>
        <dsp:cNvSpPr/>
      </dsp:nvSpPr>
      <dsp:spPr>
        <a:xfrm>
          <a:off x="4352967" y="371867"/>
          <a:ext cx="1366060" cy="1461336"/>
        </a:xfrm>
        <a:prstGeom prst="chevron">
          <a:avLst>
            <a:gd name="adj" fmla="val 70610"/>
          </a:avLst>
        </a:prstGeom>
        <a:solidFill>
          <a:schemeClr val="accent5">
            <a:hueOff val="-3820722"/>
            <a:satOff val="15312"/>
            <a:lumOff val="3318"/>
            <a:alphaOff val="0"/>
          </a:schemeClr>
        </a:solidFill>
        <a:ln w="25400" cap="flat" cmpd="sng" algn="ctr">
          <a:solidFill>
            <a:schemeClr val="accent5">
              <a:hueOff val="-3820722"/>
              <a:satOff val="15312"/>
              <a:lumOff val="331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8F8294-E192-4C4E-9EAD-2269880C4178}">
      <dsp:nvSpPr>
        <dsp:cNvPr id="0" name=""/>
        <dsp:cNvSpPr/>
      </dsp:nvSpPr>
      <dsp:spPr>
        <a:xfrm>
          <a:off x="5174160" y="371867"/>
          <a:ext cx="1366060" cy="1461336"/>
        </a:xfrm>
        <a:prstGeom prst="chevron">
          <a:avLst>
            <a:gd name="adj" fmla="val 70610"/>
          </a:avLst>
        </a:prstGeom>
        <a:solidFill>
          <a:schemeClr val="accent5">
            <a:hueOff val="-4584866"/>
            <a:satOff val="18374"/>
            <a:lumOff val="3982"/>
            <a:alphaOff val="0"/>
          </a:schemeClr>
        </a:solidFill>
        <a:ln w="25400" cap="flat" cmpd="sng" algn="ctr">
          <a:solidFill>
            <a:schemeClr val="accent5">
              <a:hueOff val="-4584866"/>
              <a:satOff val="18374"/>
              <a:lumOff val="398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ED2065-5C2B-460F-83FE-EC2C4350E4F2}">
      <dsp:nvSpPr>
        <dsp:cNvPr id="0" name=""/>
        <dsp:cNvSpPr/>
      </dsp:nvSpPr>
      <dsp:spPr>
        <a:xfrm>
          <a:off x="-34645" y="600016"/>
          <a:ext cx="6480944" cy="10383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0" kern="1200">
              <a:solidFill>
                <a:srgbClr val="002060"/>
              </a:solidFill>
            </a:rPr>
            <a:t>Одеська область 2020 </a:t>
          </a:r>
          <a:r>
            <a:rPr lang="uk-UA" sz="1400" i="0" kern="1200">
              <a:solidFill>
                <a:srgbClr val="002060"/>
              </a:solidFill>
            </a:rPr>
            <a:t>- </a:t>
          </a:r>
          <a:r>
            <a:rPr lang="uk-UA" sz="1400" b="1" i="1" kern="1200">
              <a:solidFill>
                <a:srgbClr val="002060"/>
              </a:solidFill>
            </a:rPr>
            <a:t>це міжнародний логістичний та туристично-рекреаційний центр півдня України з конкурентоспроможною економікою, де налагоджений діалог між владою та суспільством для гармонійного розвитку особистості і  створення безпечних та якісних умов життя на принципах сталого розвитку</a:t>
          </a:r>
          <a:endParaRPr lang="uk-UA" sz="1400" kern="1200">
            <a:solidFill>
              <a:srgbClr val="002060"/>
            </a:solidFill>
          </a:endParaRPr>
        </a:p>
      </dsp:txBody>
      <dsp:txXfrm>
        <a:off x="-34645" y="600016"/>
        <a:ext cx="6480944" cy="1038370"/>
      </dsp:txXfrm>
    </dsp:sp>
    <dsp:sp modelId="{1D2FF1BD-3EEF-4F04-BC07-93FE5840E6FB}">
      <dsp:nvSpPr>
        <dsp:cNvPr id="0" name=""/>
        <dsp:cNvSpPr/>
      </dsp:nvSpPr>
      <dsp:spPr>
        <a:xfrm>
          <a:off x="-34645" y="1938660"/>
          <a:ext cx="5837864" cy="3615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b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>
              <a:solidFill>
                <a:srgbClr val="002060"/>
              </a:solidFill>
            </a:rPr>
            <a:t>Місія</a:t>
          </a:r>
          <a:endParaRPr lang="uk-UA" sz="1600" b="1" kern="1200">
            <a:solidFill>
              <a:srgbClr val="002060"/>
            </a:solidFill>
          </a:endParaRPr>
        </a:p>
      </dsp:txBody>
      <dsp:txXfrm>
        <a:off x="-34645" y="1938660"/>
        <a:ext cx="5837864" cy="361591"/>
      </dsp:txXfrm>
    </dsp:sp>
    <dsp:sp modelId="{E9E64858-093F-431F-8CCB-1CDB86E6B030}">
      <dsp:nvSpPr>
        <dsp:cNvPr id="0" name=""/>
        <dsp:cNvSpPr/>
      </dsp:nvSpPr>
      <dsp:spPr>
        <a:xfrm>
          <a:off x="-34645" y="2300252"/>
          <a:ext cx="1366060" cy="1081085"/>
        </a:xfrm>
        <a:prstGeom prst="chevron">
          <a:avLst>
            <a:gd name="adj" fmla="val 70610"/>
          </a:avLst>
        </a:prstGeom>
        <a:solidFill>
          <a:schemeClr val="accent5">
            <a:hueOff val="-5349011"/>
            <a:satOff val="21437"/>
            <a:lumOff val="4646"/>
            <a:alphaOff val="0"/>
          </a:schemeClr>
        </a:solidFill>
        <a:ln w="25400" cap="flat" cmpd="sng" algn="ctr">
          <a:solidFill>
            <a:schemeClr val="accent5">
              <a:hueOff val="-5349011"/>
              <a:satOff val="21437"/>
              <a:lumOff val="464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1CD35D-3142-4D26-8DDD-416744A41FCE}">
      <dsp:nvSpPr>
        <dsp:cNvPr id="0" name=""/>
        <dsp:cNvSpPr/>
      </dsp:nvSpPr>
      <dsp:spPr>
        <a:xfrm>
          <a:off x="785898" y="2300252"/>
          <a:ext cx="1366060" cy="1081085"/>
        </a:xfrm>
        <a:prstGeom prst="chevron">
          <a:avLst>
            <a:gd name="adj" fmla="val 70610"/>
          </a:avLst>
        </a:prstGeom>
        <a:solidFill>
          <a:schemeClr val="accent5">
            <a:hueOff val="-6113155"/>
            <a:satOff val="24499"/>
            <a:lumOff val="5310"/>
            <a:alphaOff val="0"/>
          </a:schemeClr>
        </a:solidFill>
        <a:ln w="25400" cap="flat" cmpd="sng" algn="ctr">
          <a:solidFill>
            <a:schemeClr val="accent5">
              <a:hueOff val="-6113155"/>
              <a:satOff val="24499"/>
              <a:lumOff val="53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E40316-5451-4008-BAF6-F7E90165B580}">
      <dsp:nvSpPr>
        <dsp:cNvPr id="0" name=""/>
        <dsp:cNvSpPr/>
      </dsp:nvSpPr>
      <dsp:spPr>
        <a:xfrm>
          <a:off x="1607091" y="2300252"/>
          <a:ext cx="1366060" cy="1081085"/>
        </a:xfrm>
        <a:prstGeom prst="chevron">
          <a:avLst>
            <a:gd name="adj" fmla="val 70610"/>
          </a:avLst>
        </a:prstGeom>
        <a:solidFill>
          <a:schemeClr val="accent5">
            <a:hueOff val="-6877299"/>
            <a:satOff val="27561"/>
            <a:lumOff val="5973"/>
            <a:alphaOff val="0"/>
          </a:schemeClr>
        </a:solidFill>
        <a:ln w="25400" cap="flat" cmpd="sng" algn="ctr">
          <a:solidFill>
            <a:schemeClr val="accent5">
              <a:hueOff val="-6877299"/>
              <a:satOff val="27561"/>
              <a:lumOff val="59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A61DD4-E089-4EDA-8976-050C3DABD7AF}">
      <dsp:nvSpPr>
        <dsp:cNvPr id="0" name=""/>
        <dsp:cNvSpPr/>
      </dsp:nvSpPr>
      <dsp:spPr>
        <a:xfrm>
          <a:off x="2427635" y="2300252"/>
          <a:ext cx="1366060" cy="1081085"/>
        </a:xfrm>
        <a:prstGeom prst="chevron">
          <a:avLst>
            <a:gd name="adj" fmla="val 70610"/>
          </a:avLst>
        </a:prstGeom>
        <a:solidFill>
          <a:schemeClr val="accent5">
            <a:hueOff val="-7641443"/>
            <a:satOff val="30624"/>
            <a:lumOff val="6637"/>
            <a:alphaOff val="0"/>
          </a:schemeClr>
        </a:solidFill>
        <a:ln w="25400" cap="flat" cmpd="sng" algn="ctr">
          <a:solidFill>
            <a:schemeClr val="accent5">
              <a:hueOff val="-7641443"/>
              <a:satOff val="30624"/>
              <a:lumOff val="66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7B9171-0A15-4A36-A357-82AB6265C8BE}">
      <dsp:nvSpPr>
        <dsp:cNvPr id="0" name=""/>
        <dsp:cNvSpPr/>
      </dsp:nvSpPr>
      <dsp:spPr>
        <a:xfrm>
          <a:off x="3248828" y="2300252"/>
          <a:ext cx="1366060" cy="1081085"/>
        </a:xfrm>
        <a:prstGeom prst="chevron">
          <a:avLst>
            <a:gd name="adj" fmla="val 70610"/>
          </a:avLst>
        </a:prstGeom>
        <a:solidFill>
          <a:schemeClr val="accent5">
            <a:hueOff val="-8405587"/>
            <a:satOff val="33686"/>
            <a:lumOff val="7301"/>
            <a:alphaOff val="0"/>
          </a:schemeClr>
        </a:solidFill>
        <a:ln w="25400" cap="flat" cmpd="sng" algn="ctr">
          <a:solidFill>
            <a:schemeClr val="accent5">
              <a:hueOff val="-8405587"/>
              <a:satOff val="33686"/>
              <a:lumOff val="730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2A9340-C4CC-43FD-8B71-927E9C43FACC}">
      <dsp:nvSpPr>
        <dsp:cNvPr id="0" name=""/>
        <dsp:cNvSpPr/>
      </dsp:nvSpPr>
      <dsp:spPr>
        <a:xfrm>
          <a:off x="4069373" y="2300252"/>
          <a:ext cx="1366060" cy="1081085"/>
        </a:xfrm>
        <a:prstGeom prst="chevron">
          <a:avLst>
            <a:gd name="adj" fmla="val 70610"/>
          </a:avLst>
        </a:prstGeom>
        <a:solidFill>
          <a:schemeClr val="accent5">
            <a:hueOff val="-9169732"/>
            <a:satOff val="36749"/>
            <a:lumOff val="7964"/>
            <a:alphaOff val="0"/>
          </a:schemeClr>
        </a:solidFill>
        <a:ln w="25400" cap="flat" cmpd="sng" algn="ctr">
          <a:solidFill>
            <a:schemeClr val="accent5">
              <a:hueOff val="-9169732"/>
              <a:satOff val="36749"/>
              <a:lumOff val="796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934BC9-0FEA-45BC-9654-AA827B334B01}">
      <dsp:nvSpPr>
        <dsp:cNvPr id="0" name=""/>
        <dsp:cNvSpPr/>
      </dsp:nvSpPr>
      <dsp:spPr>
        <a:xfrm>
          <a:off x="4890565" y="2300252"/>
          <a:ext cx="1366060" cy="1081085"/>
        </a:xfrm>
        <a:prstGeom prst="chevron">
          <a:avLst>
            <a:gd name="adj" fmla="val 7061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3ABFF6-3045-4FBE-B8BE-47E35D5CA648}">
      <dsp:nvSpPr>
        <dsp:cNvPr id="0" name=""/>
        <dsp:cNvSpPr/>
      </dsp:nvSpPr>
      <dsp:spPr>
        <a:xfrm>
          <a:off x="50926" y="2467647"/>
          <a:ext cx="5913756" cy="72728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002060"/>
              </a:solidFill>
            </a:rPr>
            <a:t>Забезпечення інтеграційних зв'язків в сфері міжнародного та міжрегіонального співробітництва у напрямку покращення ділового та інвестиційного клімату шляхом застосування комунікаційних технологій</a:t>
          </a:r>
        </a:p>
      </dsp:txBody>
      <dsp:txXfrm>
        <a:off x="50926" y="2467647"/>
        <a:ext cx="5913756" cy="727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AccentList">
  <dgm:title val=""/>
  <dgm:desc val=""/>
  <dgm:catLst>
    <dgm:cat type="list" pri="16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refType="primFontSz" refFor="des" refForName="childtext" op="gte"/>
      <dgm:constr type="w" for="ch" forName="composite" refType="w"/>
      <dgm:constr type="h" for="ch" forName="composite" refType="h"/>
      <dgm:constr type="w" for="ch" forName="parallelogramComposite" refType="w"/>
      <dgm:constr type="h" for="ch" forName="parallelogramComposite" refType="h"/>
      <dgm:constr type="w" for="ch" forName="parenttextcomposite" refType="w" fact="0.9"/>
      <dgm:constr type="h" for="ch" forName="parenttextcomposite" refType="h" fact="0.6"/>
      <dgm:constr type="h" for="ch" forName="sibTrans" refType="h" refFor="ch" refForName="composite" op="equ" fact="0.02"/>
      <dgm:constr type="h" for="ch" forName="sibTrans" op="equ"/>
    </dgm:constrLst>
    <dgm:forEach name="nodesForEach" axis="ch" ptType="node">
      <dgm:layoutNode name="parenttextcomposite">
        <dgm:alg type="composite">
          <dgm:param type="ar" val="11"/>
        </dgm:alg>
        <dgm:shape xmlns:r="http://schemas.openxmlformats.org/officeDocument/2006/relationships" r:blip="">
          <dgm:adjLst/>
        </dgm:shape>
        <dgm:constrLst>
          <dgm:constr type="h" for="ch" forName="parenttext" refType="h"/>
          <dgm:constr type="w" for="ch" forName="parenttext" refType="w"/>
        </dgm:constrLst>
        <dgm:layoutNode name="parenttext" styleLbl="revTx">
          <dgm:varLst>
            <dgm:chMax/>
            <dgm:chPref val="2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</dgm:alg>
            </dgm:if>
            <dgm:else name="Name6">
              <dgm:alg type="tx">
                <dgm:param type="parTxLTRAlign" val="r"/>
                <dgm:param type="txAnchorVert" val="b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choose name="Name7">
        <dgm:if name="Name8" axis="ch" ptType="node" func="cnt" op="gte" val="1">
          <dgm:layoutNode name="composite">
            <dgm:alg type="composite">
              <dgm:param type="ar" val="6"/>
            </dgm:alg>
            <dgm:shape xmlns:r="http://schemas.openxmlformats.org/officeDocument/2006/relationships" r:blip="">
              <dgm:adjLst/>
            </dgm:shape>
            <dgm:choose name="Name9">
              <dgm:if name="Name10" func="var" arg="dir" op="equ" val="norm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301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if>
              <dgm:else name="Name11">
                <dgm:constrLst>
                  <dgm:constr type="l" for="ch" forName="chevron1" refType="w" fact="0.0301"/>
                  <dgm:constr type="t" for="ch" forName="chevron1" refType="h" fact="0"/>
                  <dgm:constr type="w" for="ch" forName="chevron1" refType="w" fact="0.2106"/>
                  <dgm:constr type="h" for="ch" forName="chevron1" refType="h"/>
                  <dgm:constr type="l" for="ch" forName="chevron2" refType="w" fact="0.1566"/>
                  <dgm:constr type="t" for="ch" forName="chevron2" refType="h" fact="0"/>
                  <dgm:constr type="w" for="ch" forName="chevron2" refType="w" fact="0.2106"/>
                  <dgm:constr type="h" for="ch" forName="chevron2" refType="h"/>
                  <dgm:constr type="l" for="ch" forName="chevron3" refType="w" fact="0.2832"/>
                  <dgm:constr type="t" for="ch" forName="chevron3" refType="h" fact="0"/>
                  <dgm:constr type="w" for="ch" forName="chevron3" refType="w" fact="0.2106"/>
                  <dgm:constr type="h" for="ch" forName="chevron3" refType="h"/>
                  <dgm:constr type="l" for="ch" forName="chevron4" refType="w" fact="0.4097"/>
                  <dgm:constr type="t" for="ch" forName="chevron4" refType="h" fact="0"/>
                  <dgm:constr type="w" for="ch" forName="chevron4" refType="w" fact="0.2106"/>
                  <dgm:constr type="h" for="ch" forName="chevron4" refType="h"/>
                  <dgm:constr type="l" for="ch" forName="chevron5" refType="w" fact="0.5363"/>
                  <dgm:constr type="t" for="ch" forName="chevron5" refType="h" fact="0"/>
                  <dgm:constr type="w" for="ch" forName="chevron5" refType="w" fact="0.2106"/>
                  <dgm:constr type="h" for="ch" forName="chevron5" refType="h"/>
                  <dgm:constr type="l" for="ch" forName="chevron6" refType="w" fact="0.6628"/>
                  <dgm:constr type="t" for="ch" forName="chevron6" refType="h" fact="0"/>
                  <dgm:constr type="w" for="ch" forName="chevron6" refType="w" fact="0.2106"/>
                  <dgm:constr type="h" for="ch" forName="chevron6" refType="h"/>
                  <dgm:constr type="l" for="ch" forName="chevron7" refType="w" fact="0.7894"/>
                  <dgm:constr type="t" for="ch" forName="chevron7" refType="h" fact="0"/>
                  <dgm:constr type="w" for="ch" forName="chevron7" refType="w" fact="0.2106"/>
                  <dgm:constr type="h" for="ch" forName="chevron7" refType="h"/>
                  <dgm:constr type="l" for="ch" forName="childtext" refType="w" fact="0.0883"/>
                  <dgm:constr type="t" for="ch" forName="childtext" refType="h" fact="0.1"/>
                  <dgm:constr type="w" for="ch" forName="childtext" refType="w" fact="0.9117"/>
                  <dgm:constr type="h" for="ch" forName="childtext" refType="h" fact="0.8"/>
                </dgm:constrLst>
              </dgm:else>
            </dgm:choose>
            <dgm:ruleLst/>
            <dgm:layoutNode name="chevron1" styleLbl="alignNode1">
              <dgm:alg type="sp"/>
              <dgm:choose name="Name12">
                <dgm:if name="Name13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4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2" styleLbl="alignNode1">
              <dgm:alg type="sp"/>
              <dgm:choose name="Name15">
                <dgm:if name="Name16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17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3" styleLbl="alignNode1">
              <dgm:alg type="sp"/>
              <dgm:choose name="Name18">
                <dgm:if name="Name19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0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4" styleLbl="alignNode1">
              <dgm:alg type="sp"/>
              <dgm:choose name="Name21">
                <dgm:if name="Name22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3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5" styleLbl="alignNode1">
              <dgm:alg type="sp"/>
              <dgm:choose name="Name24">
                <dgm:if name="Name25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6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6" styleLbl="alignNode1">
              <dgm:alg type="sp"/>
              <dgm:choose name="Name27">
                <dgm:if name="Name28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29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evron7" styleLbl="alignNode1">
              <dgm:alg type="sp"/>
              <dgm:choose name="Name30">
                <dgm:if name="Name31" func="var" arg="dir" op="equ" val="norm">
                  <dgm:shape xmlns:r="http://schemas.openxmlformats.org/officeDocument/2006/relationships" type="chevron" r:blip="">
                    <dgm:adjLst>
                      <dgm:adj idx="1" val="0.7061"/>
                    </dgm:adjLst>
                  </dgm:shape>
                </dgm:if>
                <dgm:else name="Name32">
                  <dgm:shape xmlns:r="http://schemas.openxmlformats.org/officeDocument/2006/relationships" rot="180" type="chevron" r:blip="">
                    <dgm:adjLst>
                      <dgm:adj idx="1" val="0.7061"/>
                    </dgm:adjLst>
                  </dgm:shape>
                </dgm:else>
              </dgm:choose>
              <dgm:presOf/>
            </dgm:layoutNode>
            <dgm:layoutNode name="childtext" styleLbl="solidFgAcc1">
              <dgm:varLst>
                <dgm:chMax/>
                <dgm:chPref val="0"/>
                <dgm:bulletEnabled val="1"/>
              </dgm:varLst>
              <dgm:choose name="Name33">
                <dgm:if name="Name34" func="var" arg="dir" op="equ" val="norm">
                  <dgm:alg type="tx">
                    <dgm:param type="parTxLTRAlign" val="l"/>
                    <dgm:param type="txAnchorVertCh" val="t"/>
                  </dgm:alg>
                </dgm:if>
                <dgm:else name="Name35">
                  <dgm:alg type="tx">
                    <dgm:param type="parTxLTRAlign" val="r"/>
                    <dgm:param type="shpTxLTRAlignCh" val="r"/>
                    <dgm:param type="txAnchorVertCh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2"/>
                <dgm:constr type="rMarg" refType="primFontSz" fact="0.2"/>
                <dgm:constr type="tMarg" refType="primFontSz" fact="0.2"/>
                <dgm:constr type="bMarg" refType="primFontSz" fact="0.2"/>
              </dgm:constrLst>
              <dgm:ruleLst>
                <dgm:rule type="primFontSz" val="5" fact="NaN" max="NaN"/>
              </dgm:ruleLst>
            </dgm:layoutNode>
          </dgm:layoutNode>
        </dgm:if>
        <dgm:else name="Name36">
          <dgm:layoutNode name="parallelogramComposite">
            <dgm:alg type="composite">
              <dgm:param type="ar" val="50"/>
            </dgm:alg>
            <dgm:shape xmlns:r="http://schemas.openxmlformats.org/officeDocument/2006/relationships" r:blip="">
              <dgm:adjLst/>
            </dgm:shape>
            <dgm:constrLst>
              <dgm:constr type="l" for="ch" forName="parallelogram1" refType="w" fact="0"/>
              <dgm:constr type="t" for="ch" forName="parallelogram1" refType="h" fact="0"/>
              <dgm:constr type="w" for="ch" forName="parallelogram1" refType="w" fact="0.12"/>
              <dgm:constr type="h" for="ch" forName="parallelogram1" refType="h"/>
              <dgm:constr type="l" for="ch" forName="parallelogram2" refType="w" fact="0.127"/>
              <dgm:constr type="t" for="ch" forName="parallelogram2" refType="h" fact="0"/>
              <dgm:constr type="w" for="ch" forName="parallelogram2" refType="w" fact="0.12"/>
              <dgm:constr type="h" for="ch" forName="parallelogram2" refType="h"/>
              <dgm:constr type="l" for="ch" forName="parallelogram3" refType="w" fact="0.254"/>
              <dgm:constr type="t" for="ch" forName="parallelogram3" refType="h" fact="0"/>
              <dgm:constr type="w" for="ch" forName="parallelogram3" refType="w" fact="0.12"/>
              <dgm:constr type="h" for="ch" forName="parallelogram3" refType="h"/>
              <dgm:constr type="l" for="ch" forName="parallelogram4" refType="w" fact="0.381"/>
              <dgm:constr type="t" for="ch" forName="parallelogram4" refType="h" fact="0"/>
              <dgm:constr type="w" for="ch" forName="parallelogram4" refType="w" fact="0.12"/>
              <dgm:constr type="h" for="ch" forName="parallelogram4" refType="h"/>
              <dgm:constr type="l" for="ch" forName="parallelogram5" refType="w" fact="0.508"/>
              <dgm:constr type="t" for="ch" forName="parallelogram5" refType="h" fact="0"/>
              <dgm:constr type="w" for="ch" forName="parallelogram5" refType="w" fact="0.12"/>
              <dgm:constr type="h" for="ch" forName="parallelogram5" refType="h"/>
              <dgm:constr type="l" for="ch" forName="parallelogram6" refType="w" fact="0.635"/>
              <dgm:constr type="t" for="ch" forName="parallelogram6" refType="h" fact="0"/>
              <dgm:constr type="w" for="ch" forName="parallelogram6" refType="w" fact="0.12"/>
              <dgm:constr type="h" for="ch" forName="parallelogram6" refType="h"/>
              <dgm:constr type="l" for="ch" forName="parallelogram7" refType="w" fact="0.762"/>
              <dgm:constr type="t" for="ch" forName="parallelogram7" refType="h" fact="0"/>
              <dgm:constr type="w" for="ch" forName="parallelogram7" refType="w" fact="0.12"/>
              <dgm:constr type="h" for="ch" forName="parallelogram7" refType="h"/>
            </dgm:constrLst>
            <dgm:ruleLst/>
            <dgm:layoutNode name="parallelogram1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2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3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4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5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6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  <dgm:layoutNode name="parallelogram7" styleLbl="alignNode1">
              <dgm:alg type="sp"/>
              <dgm:shape xmlns:r="http://schemas.openxmlformats.org/officeDocument/2006/relationships" type="parallelogram" r:blip="">
                <dgm:adjLst>
                  <dgm:adj idx="1" val="1.4084"/>
                </dgm:adjLst>
              </dgm:shape>
              <dgm:presOf/>
            </dgm:layoutNode>
          </dgm:layoutNode>
        </dgm:else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1C11FF-23F5-4617-A976-6325FE7A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17114</Words>
  <Characters>9755</Characters>
  <Application>Microsoft Office Word</Application>
  <DocSecurity>0</DocSecurity>
  <Lines>81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</dc:creator>
  <cp:lastModifiedBy>Windows User</cp:lastModifiedBy>
  <cp:revision>13</cp:revision>
  <cp:lastPrinted>2017-12-20T10:21:00Z</cp:lastPrinted>
  <dcterms:created xsi:type="dcterms:W3CDTF">2017-11-16T09:24:00Z</dcterms:created>
  <dcterms:modified xsi:type="dcterms:W3CDTF">2017-12-27T08:51:00Z</dcterms:modified>
</cp:coreProperties>
</file>