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t xml:space="preserve">Наказ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8307A1" w:rsidRPr="000B62D5">
        <w:t>01</w:t>
      </w:r>
      <w:r w:rsidRPr="00063F64">
        <w:rPr>
          <w:lang w:val="uk-UA"/>
        </w:rPr>
        <w:t>.</w:t>
      </w:r>
      <w:r w:rsidR="008307A1" w:rsidRPr="000B62D5">
        <w:t>1</w:t>
      </w:r>
      <w:r w:rsidRPr="00063F64">
        <w:rPr>
          <w:lang w:val="uk-UA"/>
        </w:rPr>
        <w:t>0.201</w:t>
      </w:r>
      <w:r>
        <w:rPr>
          <w:lang w:val="uk-UA"/>
        </w:rPr>
        <w:t>9</w:t>
      </w:r>
      <w:r w:rsidRPr="00063F64">
        <w:rPr>
          <w:lang w:val="uk-UA"/>
        </w:rPr>
        <w:t xml:space="preserve"> № </w:t>
      </w:r>
      <w:r w:rsidR="008307A1" w:rsidRPr="000B62D5">
        <w:t>40</w:t>
      </w:r>
      <w:r>
        <w:rPr>
          <w:lang w:val="uk-UA"/>
        </w:rPr>
        <w:t>/К-2019</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Default="001B5D64" w:rsidP="001B5D64">
      <w:pPr>
        <w:pStyle w:val="rvps7"/>
        <w:spacing w:before="0" w:beforeAutospacing="0" w:after="0" w:afterAutospacing="0"/>
        <w:jc w:val="center"/>
        <w:rPr>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0B62D5">
        <w:rPr>
          <w:b/>
          <w:kern w:val="1"/>
          <w:sz w:val="28"/>
          <w:szCs w:val="28"/>
        </w:rPr>
        <w:t>Б</w:t>
      </w:r>
      <w:r w:rsidRPr="00DF14FE">
        <w:rPr>
          <w:b/>
          <w:kern w:val="1"/>
          <w:sz w:val="28"/>
          <w:szCs w:val="28"/>
        </w:rPr>
        <w:t xml:space="preserve">» </w:t>
      </w:r>
      <w:r>
        <w:rPr>
          <w:rStyle w:val="rvts15"/>
          <w:b/>
          <w:sz w:val="28"/>
          <w:szCs w:val="28"/>
        </w:rPr>
        <w:t xml:space="preserve">- </w:t>
      </w:r>
      <w:r w:rsidR="000B62D5">
        <w:rPr>
          <w:rStyle w:val="rvts15"/>
          <w:b/>
          <w:sz w:val="28"/>
          <w:szCs w:val="28"/>
        </w:rPr>
        <w:t>завідувача сектору правової роботи</w:t>
      </w:r>
    </w:p>
    <w:p w:rsidR="001B5D64" w:rsidRPr="00E01B57" w:rsidRDefault="001B5D64" w:rsidP="001B5D64">
      <w:pPr>
        <w:pStyle w:val="rvps7"/>
        <w:spacing w:before="0" w:beforeAutospacing="0" w:after="0" w:afterAutospacing="0"/>
        <w:jc w:val="center"/>
        <w:rPr>
          <w:rStyle w:val="rvts15"/>
          <w:b/>
          <w:sz w:val="28"/>
          <w:szCs w:val="28"/>
        </w:rPr>
      </w:pP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 xml:space="preserve">65107,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567743"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5B0CA2" w:rsidRPr="005B0CA2" w:rsidRDefault="005B0CA2" w:rsidP="00A8051F">
            <w:pPr>
              <w:ind w:left="57" w:right="103" w:firstLine="169"/>
              <w:jc w:val="both"/>
              <w:rPr>
                <w:rStyle w:val="FontStyle13"/>
                <w:lang w:val="uk-UA" w:eastAsia="uk-UA"/>
              </w:rPr>
            </w:pPr>
            <w:r>
              <w:rPr>
                <w:rStyle w:val="FontStyle13"/>
                <w:lang w:val="uk-UA" w:eastAsia="uk-UA"/>
              </w:rPr>
              <w:t>Завідувач сектору:</w:t>
            </w:r>
          </w:p>
          <w:p w:rsidR="005B0CA2" w:rsidRPr="005B0CA2" w:rsidRDefault="005B0CA2" w:rsidP="005B0CA2">
            <w:pPr>
              <w:jc w:val="both"/>
              <w:rPr>
                <w:lang w:val="uk-UA" w:eastAsia="uk-UA"/>
              </w:rPr>
            </w:pPr>
            <w:r>
              <w:rPr>
                <w:lang w:val="uk-UA" w:eastAsia="uk-UA"/>
              </w:rPr>
              <w:t>- о</w:t>
            </w:r>
            <w:r w:rsidRPr="005B0CA2">
              <w:rPr>
                <w:lang w:val="uk-UA" w:eastAsia="uk-UA"/>
              </w:rPr>
              <w:t>рганізовує та бере участь у забезпеченні реалізації державної правової політики в діяльності у</w:t>
            </w:r>
            <w:r>
              <w:rPr>
                <w:lang w:val="uk-UA" w:eastAsia="uk-UA"/>
              </w:rPr>
              <w:t>правління</w:t>
            </w:r>
            <w:r w:rsidRPr="005B0CA2">
              <w:rPr>
                <w:lang w:val="uk-UA" w:eastAsia="uk-UA"/>
              </w:rPr>
              <w:t>, правиль</w:t>
            </w:r>
            <w:r>
              <w:rPr>
                <w:lang w:val="uk-UA" w:eastAsia="uk-UA"/>
              </w:rPr>
              <w:t>ного застосування законодавства;</w:t>
            </w:r>
          </w:p>
          <w:p w:rsidR="005B0CA2" w:rsidRPr="005B0CA2" w:rsidRDefault="005B0CA2" w:rsidP="005B0CA2">
            <w:pPr>
              <w:jc w:val="both"/>
              <w:rPr>
                <w:lang w:val="uk-UA" w:eastAsia="uk-UA"/>
              </w:rPr>
            </w:pPr>
            <w:r>
              <w:rPr>
                <w:lang w:val="uk-UA" w:eastAsia="uk-UA"/>
              </w:rPr>
              <w:t>- н</w:t>
            </w:r>
            <w:r w:rsidRPr="005B0CA2">
              <w:rPr>
                <w:lang w:val="uk-UA" w:eastAsia="uk-UA"/>
              </w:rPr>
              <w:t>адає усні консультації і роз’яснення з правових питань, що належать до компетенції у</w:t>
            </w:r>
            <w:r>
              <w:rPr>
                <w:lang w:val="uk-UA" w:eastAsia="uk-UA"/>
              </w:rPr>
              <w:t>правління</w:t>
            </w:r>
            <w:r w:rsidRPr="005B0CA2">
              <w:rPr>
                <w:lang w:val="uk-UA" w:eastAsia="uk-UA"/>
              </w:rPr>
              <w:t xml:space="preserve"> та надає безоплатну первинну правову допомогу</w:t>
            </w:r>
            <w:r>
              <w:rPr>
                <w:lang w:val="uk-UA" w:eastAsia="uk-UA"/>
              </w:rPr>
              <w:t>;</w:t>
            </w:r>
          </w:p>
          <w:p w:rsidR="005B0CA2" w:rsidRPr="005B0CA2" w:rsidRDefault="005B0CA2" w:rsidP="005B0CA2">
            <w:pPr>
              <w:jc w:val="both"/>
              <w:rPr>
                <w:lang w:val="uk-UA" w:eastAsia="uk-UA"/>
              </w:rPr>
            </w:pPr>
            <w:r>
              <w:rPr>
                <w:lang w:val="uk-UA" w:eastAsia="uk-UA"/>
              </w:rPr>
              <w:t>- п</w:t>
            </w:r>
            <w:r w:rsidRPr="005B0CA2">
              <w:rPr>
                <w:lang w:val="uk-UA" w:eastAsia="uk-UA"/>
              </w:rPr>
              <w:t>еревіряє на відповідність законодавству проекти розпоряджень голови обласної державної адміністрації, що стосуються діяльності у</w:t>
            </w:r>
            <w:r>
              <w:rPr>
                <w:lang w:val="uk-UA" w:eastAsia="uk-UA"/>
              </w:rPr>
              <w:t>правління</w:t>
            </w:r>
            <w:r w:rsidRPr="005B0CA2">
              <w:rPr>
                <w:lang w:val="uk-UA" w:eastAsia="uk-UA"/>
              </w:rPr>
              <w:t>, проекти наказів</w:t>
            </w:r>
            <w:r>
              <w:rPr>
                <w:lang w:val="uk-UA" w:eastAsia="uk-UA"/>
              </w:rPr>
              <w:t xml:space="preserve"> начальника управління</w:t>
            </w:r>
            <w:r w:rsidRPr="005B0CA2">
              <w:rPr>
                <w:lang w:val="uk-UA" w:eastAsia="uk-UA"/>
              </w:rPr>
              <w:t>, проекти рішень обласної ради, які вносяться на розгляд обласної ради головою обласної державної адміністрації та стосуються діяльності у</w:t>
            </w:r>
            <w:r>
              <w:rPr>
                <w:lang w:val="uk-UA" w:eastAsia="uk-UA"/>
              </w:rPr>
              <w:t>правління;</w:t>
            </w:r>
          </w:p>
          <w:p w:rsidR="005B0CA2" w:rsidRPr="005B0CA2" w:rsidRDefault="005B0CA2" w:rsidP="005B0CA2">
            <w:pPr>
              <w:jc w:val="both"/>
              <w:rPr>
                <w:lang w:val="uk-UA" w:eastAsia="uk-UA"/>
              </w:rPr>
            </w:pPr>
            <w:r>
              <w:rPr>
                <w:lang w:val="uk-UA" w:eastAsia="uk-UA"/>
              </w:rPr>
              <w:t>- п</w:t>
            </w:r>
            <w:r w:rsidRPr="005B0CA2">
              <w:rPr>
                <w:lang w:val="uk-UA" w:eastAsia="uk-UA"/>
              </w:rPr>
              <w:t xml:space="preserve">роводить правову експертизу проектів нормативно-правових актів, розроблених </w:t>
            </w:r>
            <w:r>
              <w:rPr>
                <w:lang w:val="uk-UA" w:eastAsia="uk-UA"/>
              </w:rPr>
              <w:t>управлінням</w:t>
            </w:r>
            <w:r w:rsidRPr="005B0CA2">
              <w:rPr>
                <w:lang w:val="uk-UA" w:eastAsia="uk-UA"/>
              </w:rPr>
              <w:t>, за результатами якої готує висновки за формою, що затверджується Міністерством юстиц</w:t>
            </w:r>
            <w:r>
              <w:rPr>
                <w:lang w:val="uk-UA" w:eastAsia="uk-UA"/>
              </w:rPr>
              <w:t>ії України, погоджує (візує) їх;</w:t>
            </w:r>
          </w:p>
          <w:p w:rsidR="005B0CA2" w:rsidRPr="005B0CA2" w:rsidRDefault="005B0CA2" w:rsidP="005B0CA2">
            <w:pPr>
              <w:jc w:val="both"/>
              <w:rPr>
                <w:lang w:val="uk-UA" w:eastAsia="uk-UA"/>
              </w:rPr>
            </w:pPr>
            <w:r>
              <w:rPr>
                <w:lang w:val="uk-UA" w:eastAsia="uk-UA"/>
              </w:rPr>
              <w:t>- б</w:t>
            </w:r>
            <w:r w:rsidRPr="005B0CA2">
              <w:rPr>
                <w:lang w:val="uk-UA" w:eastAsia="uk-UA"/>
              </w:rPr>
              <w:t>ере участь у перегляді нормативно-правових актів та інших документів з питань, що належать до компетенції у</w:t>
            </w:r>
            <w:r>
              <w:rPr>
                <w:lang w:val="uk-UA" w:eastAsia="uk-UA"/>
              </w:rPr>
              <w:t>правління</w:t>
            </w:r>
            <w:r w:rsidRPr="005B0CA2">
              <w:rPr>
                <w:lang w:val="uk-UA" w:eastAsia="uk-UA"/>
              </w:rPr>
              <w:t xml:space="preserve">, з метою приведення їх у </w:t>
            </w:r>
            <w:r>
              <w:rPr>
                <w:lang w:val="uk-UA" w:eastAsia="uk-UA"/>
              </w:rPr>
              <w:t>відповідність із законодавством;</w:t>
            </w:r>
          </w:p>
          <w:p w:rsidR="005B0CA2" w:rsidRPr="005B0CA2" w:rsidRDefault="005B0CA2" w:rsidP="005B0CA2">
            <w:pPr>
              <w:jc w:val="both"/>
              <w:rPr>
                <w:lang w:val="uk-UA" w:eastAsia="uk-UA"/>
              </w:rPr>
            </w:pPr>
            <w:r>
              <w:rPr>
                <w:lang w:val="uk-UA" w:eastAsia="uk-UA"/>
              </w:rPr>
              <w:t>- п</w:t>
            </w:r>
            <w:r w:rsidRPr="005B0CA2">
              <w:rPr>
                <w:lang w:val="uk-UA" w:eastAsia="uk-UA"/>
              </w:rPr>
              <w:t xml:space="preserve">редставляє у </w:t>
            </w:r>
            <w:r>
              <w:rPr>
                <w:lang w:val="uk-UA" w:eastAsia="uk-UA"/>
              </w:rPr>
              <w:t xml:space="preserve">встановленому порядку інтереси </w:t>
            </w:r>
            <w:r w:rsidRPr="005B0CA2">
              <w:rPr>
                <w:lang w:val="uk-UA" w:eastAsia="uk-UA"/>
              </w:rPr>
              <w:t>у</w:t>
            </w:r>
            <w:r>
              <w:rPr>
                <w:lang w:val="uk-UA" w:eastAsia="uk-UA"/>
              </w:rPr>
              <w:t>правління</w:t>
            </w:r>
            <w:r w:rsidR="009D4A73">
              <w:rPr>
                <w:lang w:val="uk-UA" w:eastAsia="uk-UA"/>
              </w:rPr>
              <w:t xml:space="preserve"> у судах;</w:t>
            </w:r>
          </w:p>
          <w:p w:rsidR="005B0CA2" w:rsidRPr="005B0CA2" w:rsidRDefault="009D4A73" w:rsidP="009D4A73">
            <w:pPr>
              <w:jc w:val="both"/>
              <w:rPr>
                <w:lang w:val="uk-UA" w:eastAsia="uk-UA"/>
              </w:rPr>
            </w:pPr>
            <w:r>
              <w:rPr>
                <w:lang w:val="uk-UA" w:eastAsia="uk-UA"/>
              </w:rPr>
              <w:t>- г</w:t>
            </w:r>
            <w:r w:rsidR="005B0CA2" w:rsidRPr="005B0CA2">
              <w:rPr>
                <w:lang w:val="uk-UA" w:eastAsia="uk-UA"/>
              </w:rPr>
              <w:t>отує позовні заяви, апеляційні та касаційні скарги, інші документи, передбачені процесуальним законодавством</w:t>
            </w:r>
            <w:r>
              <w:rPr>
                <w:lang w:val="uk-UA" w:eastAsia="uk-UA"/>
              </w:rPr>
              <w:t>;</w:t>
            </w:r>
          </w:p>
          <w:p w:rsidR="005B0CA2" w:rsidRPr="005B0CA2" w:rsidRDefault="009D4A73" w:rsidP="009D4A73">
            <w:pPr>
              <w:jc w:val="both"/>
              <w:rPr>
                <w:lang w:val="uk-UA" w:eastAsia="uk-UA"/>
              </w:rPr>
            </w:pPr>
            <w:r>
              <w:rPr>
                <w:lang w:val="uk-UA" w:eastAsia="uk-UA"/>
              </w:rPr>
              <w:t>- у</w:t>
            </w:r>
            <w:r w:rsidR="005B0CA2" w:rsidRPr="005B0CA2">
              <w:rPr>
                <w:lang w:val="uk-UA" w:eastAsia="uk-UA"/>
              </w:rPr>
              <w:t xml:space="preserve"> межах компетенції бере участь у проведенні аналізу результатів позовної роботи та вносить </w:t>
            </w:r>
            <w:r>
              <w:rPr>
                <w:lang w:val="uk-UA" w:eastAsia="uk-UA"/>
              </w:rPr>
              <w:t xml:space="preserve">начальнику управління </w:t>
            </w:r>
            <w:r w:rsidR="005B0CA2" w:rsidRPr="005B0CA2">
              <w:rPr>
                <w:lang w:val="uk-UA" w:eastAsia="uk-UA"/>
              </w:rPr>
              <w:t>пропозиції щод</w:t>
            </w:r>
            <w:r>
              <w:rPr>
                <w:lang w:val="uk-UA" w:eastAsia="uk-UA"/>
              </w:rPr>
              <w:t>о удосконалення позовної роботи;</w:t>
            </w:r>
          </w:p>
          <w:p w:rsidR="005B0CA2" w:rsidRPr="005B0CA2" w:rsidRDefault="009D4A73" w:rsidP="009D4A73">
            <w:pPr>
              <w:jc w:val="both"/>
              <w:rPr>
                <w:lang w:val="uk-UA" w:eastAsia="uk-UA"/>
              </w:rPr>
            </w:pPr>
            <w:r>
              <w:rPr>
                <w:lang w:val="uk-UA" w:eastAsia="uk-UA"/>
              </w:rPr>
              <w:t>- п</w:t>
            </w:r>
            <w:r w:rsidR="005B0CA2" w:rsidRPr="005B0CA2">
              <w:rPr>
                <w:lang w:val="uk-UA" w:eastAsia="uk-UA"/>
              </w:rPr>
              <w:t xml:space="preserve">одає виконавчі документи у судових справах, де стороною є </w:t>
            </w:r>
            <w:r>
              <w:rPr>
                <w:lang w:val="uk-UA" w:eastAsia="uk-UA"/>
              </w:rPr>
              <w:t>управління, до виконання;</w:t>
            </w:r>
          </w:p>
          <w:p w:rsidR="005B0CA2" w:rsidRPr="005B0CA2" w:rsidRDefault="009D4A73" w:rsidP="009D4A73">
            <w:pPr>
              <w:jc w:val="both"/>
              <w:rPr>
                <w:lang w:val="uk-UA" w:eastAsia="ru-RU"/>
              </w:rPr>
            </w:pPr>
            <w:r>
              <w:rPr>
                <w:lang w:val="uk-UA" w:eastAsia="uk-UA"/>
              </w:rPr>
              <w:t>- у</w:t>
            </w:r>
            <w:r w:rsidR="005B0CA2" w:rsidRPr="005B0CA2">
              <w:rPr>
                <w:lang w:val="uk-UA" w:eastAsia="uk-UA"/>
              </w:rPr>
              <w:t xml:space="preserve"> межах компетенції вживає заходів щодо забезпечення</w:t>
            </w:r>
          </w:p>
          <w:p w:rsidR="005B0CA2" w:rsidRPr="005B0CA2" w:rsidRDefault="005B0CA2" w:rsidP="009D4A73">
            <w:pPr>
              <w:jc w:val="both"/>
              <w:rPr>
                <w:lang w:val="uk-UA" w:eastAsia="ru-RU"/>
              </w:rPr>
            </w:pPr>
            <w:r w:rsidRPr="005B0CA2">
              <w:rPr>
                <w:lang w:val="uk-UA" w:eastAsia="uk-UA"/>
              </w:rPr>
              <w:t xml:space="preserve">виконання судових рішень у справах, де стороною є </w:t>
            </w:r>
            <w:r w:rsidR="009D4A73">
              <w:rPr>
                <w:lang w:val="uk-UA" w:eastAsia="uk-UA"/>
              </w:rPr>
              <w:t>управління;</w:t>
            </w:r>
          </w:p>
          <w:p w:rsidR="005B0CA2" w:rsidRPr="005B0CA2" w:rsidRDefault="009D4A73" w:rsidP="005B0CA2">
            <w:pPr>
              <w:suppressAutoHyphens w:val="0"/>
              <w:spacing w:line="240" w:lineRule="auto"/>
              <w:jc w:val="both"/>
              <w:rPr>
                <w:color w:val="000000"/>
                <w:kern w:val="0"/>
                <w:lang w:val="uk-UA" w:eastAsia="uk-UA"/>
              </w:rPr>
            </w:pPr>
            <w:r>
              <w:rPr>
                <w:color w:val="000000"/>
                <w:kern w:val="0"/>
                <w:lang w:val="uk-UA" w:eastAsia="uk-UA"/>
              </w:rPr>
              <w:t>- р</w:t>
            </w:r>
            <w:r w:rsidR="005B0CA2" w:rsidRPr="005B0CA2">
              <w:rPr>
                <w:color w:val="000000"/>
                <w:kern w:val="0"/>
                <w:lang w:val="uk-UA" w:eastAsia="uk-UA"/>
              </w:rPr>
              <w:t xml:space="preserve">озглядає та готує проекти відповідей на звернення та запити на інформацію громадян, звернення та запити народних депутатів України, депутатів місцевих рад, громадських об’єднань, підприємств, установ, </w:t>
            </w:r>
            <w:r w:rsidR="005B0CA2" w:rsidRPr="005B0CA2">
              <w:rPr>
                <w:color w:val="000000"/>
                <w:kern w:val="0"/>
                <w:lang w:val="uk-UA" w:eastAsia="uk-UA"/>
              </w:rPr>
              <w:lastRenderedPageBreak/>
              <w:t>організацій з питань, що належать до компетенції у</w:t>
            </w:r>
            <w:r>
              <w:rPr>
                <w:color w:val="000000"/>
                <w:kern w:val="0"/>
                <w:lang w:val="uk-UA" w:eastAsia="uk-UA"/>
              </w:rPr>
              <w:t>правління;</w:t>
            </w:r>
          </w:p>
          <w:p w:rsidR="005B0CA2" w:rsidRPr="005B0CA2" w:rsidRDefault="009D4A73" w:rsidP="005B0CA2">
            <w:pPr>
              <w:suppressAutoHyphens w:val="0"/>
              <w:spacing w:line="240" w:lineRule="auto"/>
              <w:jc w:val="both"/>
              <w:rPr>
                <w:color w:val="000000"/>
                <w:kern w:val="0"/>
                <w:lang w:val="uk-UA" w:eastAsia="uk-UA"/>
              </w:rPr>
            </w:pPr>
            <w:r>
              <w:rPr>
                <w:color w:val="000000"/>
                <w:kern w:val="0"/>
                <w:lang w:val="uk-UA" w:eastAsia="uk-UA"/>
              </w:rPr>
              <w:t>- б</w:t>
            </w:r>
            <w:r w:rsidR="005B0CA2" w:rsidRPr="005B0CA2">
              <w:rPr>
                <w:color w:val="000000"/>
                <w:kern w:val="0"/>
                <w:lang w:val="uk-UA" w:eastAsia="uk-UA"/>
              </w:rPr>
              <w:t>ере участь у семінарах, зустрічах, «кр</w:t>
            </w:r>
            <w:r>
              <w:rPr>
                <w:color w:val="000000"/>
                <w:kern w:val="0"/>
                <w:lang w:val="uk-UA" w:eastAsia="uk-UA"/>
              </w:rPr>
              <w:t>углих столах» з правових питань;</w:t>
            </w:r>
          </w:p>
          <w:p w:rsidR="005B0CA2" w:rsidRDefault="009D4A73" w:rsidP="009D4A73">
            <w:pPr>
              <w:spacing w:line="276" w:lineRule="auto"/>
              <w:jc w:val="both"/>
              <w:rPr>
                <w:color w:val="000000"/>
                <w:kern w:val="0"/>
                <w:lang w:val="uk-UA" w:eastAsia="uk-UA"/>
              </w:rPr>
            </w:pPr>
            <w:r>
              <w:rPr>
                <w:color w:val="000000"/>
                <w:kern w:val="0"/>
                <w:lang w:val="uk-UA" w:eastAsia="uk-UA"/>
              </w:rPr>
              <w:t>- а</w:t>
            </w:r>
            <w:r w:rsidR="005B0CA2" w:rsidRPr="005B0CA2">
              <w:rPr>
                <w:color w:val="000000"/>
                <w:kern w:val="0"/>
                <w:lang w:val="uk-UA" w:eastAsia="uk-UA"/>
              </w:rPr>
              <w:t xml:space="preserve">налізує матеріали, що надійшли від правоохоронних і контролюючих органів, а також отримані за результатами перевірок, ревізій, інвентаризацій дані статистичної звітності, що характеризують стан дотримання законності в </w:t>
            </w:r>
            <w:r>
              <w:rPr>
                <w:color w:val="000000"/>
                <w:kern w:val="0"/>
                <w:lang w:val="uk-UA" w:eastAsia="uk-UA"/>
              </w:rPr>
              <w:t>управлінні</w:t>
            </w:r>
            <w:r w:rsidR="005B0CA2" w:rsidRPr="005B0CA2">
              <w:rPr>
                <w:color w:val="000000"/>
                <w:kern w:val="0"/>
                <w:lang w:val="uk-UA" w:eastAsia="uk-UA"/>
              </w:rPr>
              <w:t>, готує правові висновки за фактами виявлених правопорушень та бере участь в організації</w:t>
            </w:r>
            <w:r>
              <w:rPr>
                <w:color w:val="000000"/>
                <w:kern w:val="0"/>
                <w:lang w:val="uk-UA" w:eastAsia="uk-UA"/>
              </w:rPr>
              <w:t xml:space="preserve"> роботи з відшкодування збитків;</w:t>
            </w:r>
          </w:p>
          <w:p w:rsidR="001B5D64" w:rsidRPr="009D4A73" w:rsidRDefault="001B5D64" w:rsidP="005B0CA2">
            <w:pPr>
              <w:ind w:left="57" w:right="103" w:firstLine="169"/>
              <w:jc w:val="both"/>
              <w:rPr>
                <w:rStyle w:val="FontStyle13"/>
                <w:sz w:val="24"/>
                <w:szCs w:val="24"/>
                <w:lang w:val="uk-UA" w:eastAsia="uk-UA"/>
              </w:rPr>
            </w:pPr>
            <w:r w:rsidRPr="009D4A73">
              <w:rPr>
                <w:rStyle w:val="FontStyle13"/>
                <w:sz w:val="24"/>
                <w:szCs w:val="24"/>
                <w:lang w:val="uk-UA" w:eastAsia="uk-UA"/>
              </w:rPr>
              <w:t>- за дорученням начальника управління готує проекти відповідей на запити центральних органів виконавчої влади, місцевих державних адміністрацій, органів місцевого самоврядування, а також підприємств, установ, організацій та громадян з питань, що віднесені до компетенції управління;</w:t>
            </w:r>
          </w:p>
          <w:p w:rsidR="001B5D64" w:rsidRPr="009D4A73" w:rsidRDefault="001B5D64" w:rsidP="00A8051F">
            <w:pPr>
              <w:ind w:left="57" w:right="103"/>
              <w:jc w:val="both"/>
              <w:rPr>
                <w:rStyle w:val="FontStyle13"/>
                <w:sz w:val="24"/>
                <w:szCs w:val="24"/>
                <w:lang w:val="uk-UA" w:eastAsia="uk-UA"/>
              </w:rPr>
            </w:pPr>
            <w:r w:rsidRPr="009D4A73">
              <w:rPr>
                <w:rStyle w:val="FontStyle13"/>
                <w:sz w:val="24"/>
                <w:szCs w:val="24"/>
                <w:lang w:val="uk-UA" w:eastAsia="uk-UA"/>
              </w:rPr>
              <w:t>- виконує інші обов’язки, покладені на нього відповідно до наказів начальника управління;</w:t>
            </w:r>
          </w:p>
          <w:p w:rsidR="001B5D64" w:rsidRPr="00567743" w:rsidRDefault="001B5D64" w:rsidP="00A8051F">
            <w:pPr>
              <w:ind w:left="57" w:right="103"/>
              <w:jc w:val="both"/>
              <w:rPr>
                <w:sz w:val="26"/>
                <w:szCs w:val="26"/>
                <w:lang w:val="uk-UA" w:eastAsia="uk-UA"/>
              </w:rPr>
            </w:pPr>
            <w:r w:rsidRPr="009D4A73">
              <w:rPr>
                <w:rStyle w:val="FontStyle13"/>
                <w:sz w:val="24"/>
                <w:szCs w:val="24"/>
                <w:lang w:val="uk-UA" w:eastAsia="uk-UA"/>
              </w:rPr>
              <w:t>- виконує інші доручення начальника управління в межах Положення про управління.</w:t>
            </w:r>
          </w:p>
        </w:tc>
      </w:tr>
      <w:tr w:rsidR="001B5D64" w:rsidRPr="00567743" w:rsidTr="00FD57B5">
        <w:tc>
          <w:tcPr>
            <w:tcW w:w="3575" w:type="dxa"/>
            <w:gridSpan w:val="2"/>
          </w:tcPr>
          <w:p w:rsidR="001B5D64" w:rsidRPr="00567743" w:rsidRDefault="001B5D64" w:rsidP="000C174E">
            <w:pPr>
              <w:pStyle w:val="rvps14"/>
            </w:pPr>
            <w:r w:rsidRPr="00567743">
              <w:lastRenderedPageBreak/>
              <w:t>Умови оплати праці</w:t>
            </w:r>
          </w:p>
        </w:tc>
        <w:tc>
          <w:tcPr>
            <w:tcW w:w="5927" w:type="dxa"/>
            <w:tcMar>
              <w:left w:w="57" w:type="dxa"/>
            </w:tcMar>
          </w:tcPr>
          <w:p w:rsidR="00A8051F" w:rsidRPr="00A8051F" w:rsidRDefault="001B5D64" w:rsidP="00A8051F">
            <w:pPr>
              <w:spacing w:line="200" w:lineRule="atLeast"/>
              <w:ind w:right="103"/>
              <w:jc w:val="both"/>
              <w:rPr>
                <w:lang w:val="uk-UA"/>
              </w:rPr>
            </w:pPr>
            <w:r w:rsidRPr="00567743">
              <w:rPr>
                <w:lang w:val="uk-UA"/>
              </w:rPr>
              <w:t xml:space="preserve">1) посадовий оклад – </w:t>
            </w:r>
            <w:r w:rsidR="00A8051F" w:rsidRPr="00A8051F">
              <w:t xml:space="preserve">- </w:t>
            </w:r>
            <w:r w:rsidR="00A8051F" w:rsidRPr="00A8051F">
              <w:rPr>
                <w:lang w:val="uk-UA"/>
              </w:rPr>
              <w:t>5810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0B62D5">
            <w:pPr>
              <w:spacing w:line="200" w:lineRule="atLeast"/>
              <w:ind w:left="57"/>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0B62D5">
            <w:pPr>
              <w:spacing w:line="200" w:lineRule="atLeast"/>
              <w:ind w:left="57"/>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xml:space="preserve"> , в якому обов’язково зазначається така інформація:</w:t>
            </w:r>
          </w:p>
          <w:p w:rsidR="000B62D5" w:rsidRDefault="000B62D5" w:rsidP="000B62D5">
            <w:pPr>
              <w:spacing w:line="200" w:lineRule="atLeast"/>
              <w:ind w:left="57"/>
              <w:rPr>
                <w:lang w:val="uk-UA"/>
              </w:rPr>
            </w:pPr>
            <w:r w:rsidRPr="0043438C">
              <w:rPr>
                <w:lang w:val="uk-UA"/>
              </w:rPr>
              <w:t xml:space="preserve"> </w:t>
            </w:r>
            <w:r>
              <w:rPr>
                <w:lang w:val="uk-UA"/>
              </w:rPr>
              <w:t>прізвище, ім’я, по батькові кандидата;</w:t>
            </w:r>
          </w:p>
          <w:p w:rsidR="000B62D5" w:rsidRDefault="000B62D5" w:rsidP="000B62D5">
            <w:pPr>
              <w:spacing w:line="200" w:lineRule="atLeast"/>
              <w:ind w:left="57"/>
              <w:rPr>
                <w:lang w:val="uk-UA"/>
              </w:rPr>
            </w:pPr>
            <w:r>
              <w:rPr>
                <w:lang w:val="uk-UA"/>
              </w:rPr>
              <w:t xml:space="preserve"> реквізити документа, що посвідчує особу та   </w:t>
            </w:r>
          </w:p>
          <w:p w:rsidR="000B62D5" w:rsidRDefault="000B62D5" w:rsidP="000B62D5">
            <w:pPr>
              <w:spacing w:line="200" w:lineRule="atLeast"/>
              <w:rPr>
                <w:lang w:val="uk-UA"/>
              </w:rPr>
            </w:pPr>
            <w:r>
              <w:rPr>
                <w:lang w:val="uk-UA"/>
              </w:rPr>
              <w:t xml:space="preserve">  підтверджує громадянство України;</w:t>
            </w:r>
          </w:p>
          <w:p w:rsidR="000B62D5" w:rsidRDefault="000B62D5" w:rsidP="000B62D5">
            <w:pPr>
              <w:spacing w:line="200" w:lineRule="atLeast"/>
              <w:rPr>
                <w:lang w:val="uk-UA"/>
              </w:rPr>
            </w:pPr>
            <w:r>
              <w:rPr>
                <w:lang w:val="uk-UA"/>
              </w:rPr>
              <w:t xml:space="preserve">  підтвердження наявності відповідного ступеня вищої </w:t>
            </w:r>
          </w:p>
          <w:p w:rsidR="000B62D5" w:rsidRDefault="000B62D5" w:rsidP="000B62D5">
            <w:pPr>
              <w:spacing w:line="200" w:lineRule="atLeast"/>
              <w:rPr>
                <w:lang w:val="uk-UA"/>
              </w:rPr>
            </w:pPr>
            <w:r>
              <w:rPr>
                <w:lang w:val="uk-UA"/>
              </w:rPr>
              <w:t xml:space="preserve">  освіти;</w:t>
            </w:r>
          </w:p>
          <w:p w:rsidR="000B62D5" w:rsidRDefault="000B62D5" w:rsidP="000B62D5">
            <w:pPr>
              <w:spacing w:line="200" w:lineRule="atLeast"/>
              <w:ind w:left="57"/>
              <w:rPr>
                <w:lang w:val="uk-UA"/>
              </w:rPr>
            </w:pPr>
            <w:r>
              <w:rPr>
                <w:lang w:val="uk-UA"/>
              </w:rPr>
              <w:t xml:space="preserve"> підтвердження рівня вільного володіння державною </w:t>
            </w:r>
          </w:p>
          <w:p w:rsidR="000B62D5" w:rsidRDefault="000B62D5" w:rsidP="000B62D5">
            <w:pPr>
              <w:spacing w:line="200" w:lineRule="atLeast"/>
              <w:ind w:left="57"/>
              <w:rPr>
                <w:lang w:val="uk-UA"/>
              </w:rPr>
            </w:pPr>
            <w:r>
              <w:rPr>
                <w:lang w:val="uk-UA"/>
              </w:rPr>
              <w:t xml:space="preserve"> мовою;</w:t>
            </w:r>
          </w:p>
          <w:p w:rsidR="000B62D5" w:rsidRDefault="000B62D5" w:rsidP="000B62D5">
            <w:pPr>
              <w:spacing w:line="200" w:lineRule="atLeast"/>
              <w:ind w:left="57"/>
              <w:rPr>
                <w:lang w:val="uk-UA"/>
              </w:rPr>
            </w:pPr>
            <w:r>
              <w:rPr>
                <w:lang w:val="uk-UA"/>
              </w:rPr>
              <w:t xml:space="preserve"> відомості про стаж роботи, стаж державної служби </w:t>
            </w:r>
          </w:p>
          <w:p w:rsidR="000B62D5" w:rsidRDefault="000B62D5" w:rsidP="000B62D5">
            <w:pPr>
              <w:spacing w:line="200" w:lineRule="atLeast"/>
              <w:ind w:left="57"/>
              <w:rPr>
                <w:lang w:val="uk-UA"/>
              </w:rPr>
            </w:pPr>
            <w:r>
              <w:rPr>
                <w:lang w:val="uk-UA"/>
              </w:rPr>
              <w:lastRenderedPageBreak/>
              <w:t xml:space="preserve"> (за наявності), досвід роботи на відповідних посадах.</w:t>
            </w:r>
          </w:p>
          <w:p w:rsidR="000B62D5" w:rsidRDefault="000B62D5" w:rsidP="00A8051F">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0B62D5" w:rsidRPr="000B62D5" w:rsidRDefault="000B62D5" w:rsidP="000B62D5">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t>0</w:t>
            </w:r>
            <w:r>
              <w:rPr>
                <w:lang w:val="uk-UA"/>
              </w:rPr>
              <w:t>7</w:t>
            </w:r>
            <w:r>
              <w:t xml:space="preserve"> листопада</w:t>
            </w:r>
            <w:r w:rsidRPr="0043438C">
              <w:t xml:space="preserve"> 2019</w:t>
            </w:r>
            <w:r>
              <w:t xml:space="preserve"> </w:t>
            </w:r>
            <w:r>
              <w:rPr>
                <w:lang w:val="uk-UA"/>
              </w:rPr>
              <w:t>року</w:t>
            </w:r>
          </w:p>
        </w:tc>
      </w:tr>
      <w:tr w:rsidR="000B62D5" w:rsidRPr="00E133CD"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lastRenderedPageBreak/>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B24CBE" w:rsidRDefault="00B24CBE" w:rsidP="00B24CBE">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0B62D5" w:rsidRPr="00726BC2" w:rsidRDefault="000B62D5" w:rsidP="00B24CBE">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0B62D5" w:rsidRPr="00A849C1" w:rsidRDefault="000B62D5" w:rsidP="0030148C">
            <w:pPr>
              <w:suppressAutoHyphens w:val="0"/>
              <w:spacing w:line="240" w:lineRule="auto"/>
              <w:ind w:left="57"/>
              <w:rPr>
                <w:lang w:val="uk-UA"/>
              </w:rPr>
            </w:pPr>
            <w:r w:rsidRPr="00CA0056">
              <w:rPr>
                <w:kern w:val="0"/>
                <w:lang w:val="uk-UA" w:eastAsia="uk-UA"/>
              </w:rPr>
              <w:t xml:space="preserve">Тестування буде проведено за адресою: </w:t>
            </w:r>
            <w:r w:rsidRPr="00A849C1">
              <w:rPr>
                <w:lang w:val="uk-UA"/>
              </w:rPr>
              <w:t xml:space="preserve"> м. Одеса,                 вул. Канатна, 83, </w:t>
            </w:r>
            <w:proofErr w:type="spellStart"/>
            <w:r w:rsidRPr="00A849C1">
              <w:rPr>
                <w:lang w:val="uk-UA"/>
              </w:rPr>
              <w:t>каб</w:t>
            </w:r>
            <w:proofErr w:type="spellEnd"/>
            <w:r w:rsidRPr="00A849C1">
              <w:rPr>
                <w:lang w:val="uk-UA"/>
              </w:rPr>
              <w:t>. № 1</w:t>
            </w:r>
            <w:r>
              <w:rPr>
                <w:lang w:val="uk-UA"/>
              </w:rPr>
              <w:t>08</w:t>
            </w:r>
            <w:r w:rsidRPr="00A849C1">
              <w:rPr>
                <w:lang w:val="uk-UA"/>
              </w:rPr>
              <w:t xml:space="preserve">, </w:t>
            </w:r>
            <w:r>
              <w:rPr>
                <w:lang w:val="uk-UA"/>
              </w:rPr>
              <w:t xml:space="preserve"> </w:t>
            </w:r>
            <w:r w:rsidRPr="00CA0056">
              <w:t>1</w:t>
            </w:r>
            <w:r>
              <w:rPr>
                <w:lang w:val="uk-UA"/>
              </w:rPr>
              <w:t>2</w:t>
            </w:r>
            <w:r w:rsidRPr="00A849C1">
              <w:rPr>
                <w:lang w:val="uk-UA"/>
              </w:rPr>
              <w:t xml:space="preserve"> </w:t>
            </w:r>
            <w:r>
              <w:rPr>
                <w:lang w:val="uk-UA"/>
              </w:rPr>
              <w:t>листопада</w:t>
            </w:r>
            <w:r w:rsidRPr="00A849C1">
              <w:rPr>
                <w:lang w:val="uk-UA"/>
              </w:rPr>
              <w:t xml:space="preserve"> 2019 року о 1</w:t>
            </w:r>
            <w:r w:rsidR="0030148C">
              <w:rPr>
                <w:lang w:val="uk-UA"/>
              </w:rPr>
              <w:t>2</w:t>
            </w:r>
            <w:r w:rsidRPr="00A849C1">
              <w:rPr>
                <w:lang w:val="uk-UA"/>
              </w:rPr>
              <w:t>.00.</w:t>
            </w:r>
          </w:p>
        </w:tc>
      </w:tr>
      <w:tr w:rsidR="000B62D5" w:rsidRPr="00E5518D" w:rsidTr="00FD57B5">
        <w:tc>
          <w:tcPr>
            <w:tcW w:w="3575" w:type="dxa"/>
            <w:gridSpan w:val="2"/>
            <w:vAlign w:val="center"/>
          </w:tcPr>
          <w:p w:rsidR="000B62D5" w:rsidRPr="00567743" w:rsidRDefault="000B62D5" w:rsidP="00B24CBE">
            <w:pPr>
              <w:pStyle w:val="rvps14"/>
              <w:ind w:right="131"/>
              <w:jc w:val="both"/>
            </w:pPr>
            <w:r w:rsidRPr="00567743">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proofErr w:type="spellStart"/>
            <w:r w:rsidR="00071E24">
              <w:rPr>
                <w:lang w:val="en-US"/>
              </w:rPr>
              <w:t>okarpov</w:t>
            </w:r>
            <w:r w:rsidRPr="00A849C1">
              <w:rPr>
                <w:lang w:val="en-US"/>
              </w:rPr>
              <w:t>a</w:t>
            </w:r>
            <w:proofErr w:type="spellEnd"/>
            <w:r w:rsidRPr="00A849C1">
              <w:rPr>
                <w:lang w:val="uk-UA"/>
              </w:rPr>
              <w:t>@</w:t>
            </w:r>
            <w:proofErr w:type="spellStart"/>
            <w:r w:rsidRPr="00A849C1">
              <w:rPr>
                <w:lang w:val="en-US"/>
              </w:rPr>
              <w:t>ukr</w:t>
            </w:r>
            <w:proofErr w:type="spellEnd"/>
            <w:r w:rsidRPr="00A849C1">
              <w:t>.</w:t>
            </w:r>
            <w:r w:rsidRPr="00A849C1">
              <w:rPr>
                <w:lang w:val="en-US"/>
              </w:rPr>
              <w:t>net</w:t>
            </w:r>
            <w:r w:rsidRPr="00A849C1">
              <w:rPr>
                <w:lang w:val="uk-UA"/>
              </w:rPr>
              <w:t xml:space="preserve">, м. Одеса, вул. Канатна, 83, </w:t>
            </w:r>
            <w:proofErr w:type="spellStart"/>
            <w:r w:rsidRPr="00A849C1">
              <w:rPr>
                <w:lang w:val="uk-UA"/>
              </w:rPr>
              <w:t>каб</w:t>
            </w:r>
            <w:proofErr w:type="spellEnd"/>
            <w:r w:rsidRPr="00A849C1">
              <w:rPr>
                <w:lang w:val="uk-UA"/>
              </w:rPr>
              <w:t>. № 108.</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Pr="00567743" w:rsidRDefault="000B62D5" w:rsidP="000B62D5">
            <w:pPr>
              <w:pStyle w:val="rvps12"/>
              <w:jc w:val="center"/>
              <w:rPr>
                <w:b/>
              </w:rPr>
            </w:pPr>
            <w:r w:rsidRPr="00567743">
              <w:rPr>
                <w:b/>
              </w:rPr>
              <w:t>Кваліфікаційні вимоги</w:t>
            </w: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B24CBE" w:rsidP="00B24CBE">
            <w:pPr>
              <w:pStyle w:val="rvps14"/>
              <w:ind w:left="61"/>
              <w:jc w:val="both"/>
              <w:rPr>
                <w:rStyle w:val="rvts0"/>
              </w:rPr>
            </w:pPr>
            <w:r>
              <w:rPr>
                <w:rStyle w:val="rvts0"/>
              </w:rPr>
              <w:t xml:space="preserve">Вища </w:t>
            </w:r>
            <w:r w:rsidR="00E133CD">
              <w:rPr>
                <w:rStyle w:val="rvts0"/>
              </w:rPr>
              <w:t>юридична</w:t>
            </w:r>
            <w:r>
              <w:rPr>
                <w:rStyle w:val="rvts0"/>
              </w:rPr>
              <w:t xml:space="preserve"> за освітнім ступенем не нижче магістра. </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020890">
            <w:pPr>
              <w:pStyle w:val="rvps14"/>
              <w:spacing w:before="0" w:after="0"/>
              <w:ind w:left="57" w:right="107"/>
              <w:jc w:val="both"/>
            </w:pPr>
            <w:bookmarkStart w:id="0" w:name="_GoBack"/>
            <w:r>
              <w:rPr>
                <w:rStyle w:val="rvts0"/>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bookmarkEnd w:id="0"/>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30148C" w:rsidRPr="00567743" w:rsidRDefault="0030148C" w:rsidP="0030148C">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30148C" w:rsidRPr="00AA073C" w:rsidRDefault="0030148C" w:rsidP="0030148C">
            <w:pPr>
              <w:pStyle w:val="rvps14"/>
              <w:ind w:firstLine="61"/>
              <w:rPr>
                <w:rStyle w:val="rvts0"/>
                <w:lang w:val="en-US"/>
              </w:rPr>
            </w:pPr>
            <w:r w:rsidRPr="00567743">
              <w:rPr>
                <w:rStyle w:val="rvts0"/>
              </w:rPr>
              <w:t>Не потребує</w:t>
            </w: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lastRenderedPageBreak/>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Default="00020890" w:rsidP="00020890">
            <w:pPr>
              <w:pStyle w:val="a4"/>
              <w:spacing w:before="0" w:after="0"/>
              <w:ind w:left="57"/>
              <w:jc w:val="both"/>
              <w:rPr>
                <w:shd w:val="clear" w:color="auto" w:fill="FFFFFF"/>
                <w:lang w:val="en-US"/>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proofErr w:type="spellStart"/>
            <w:r w:rsidRPr="00F02092">
              <w:rPr>
                <w:shd w:val="clear" w:color="auto" w:fill="FFFFFF"/>
              </w:rPr>
              <w:t>роботи</w:t>
            </w:r>
            <w:proofErr w:type="spellEnd"/>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
          <w:p w:rsidR="00020890" w:rsidRPr="001169D5" w:rsidRDefault="00020890" w:rsidP="00020890">
            <w:pPr>
              <w:pStyle w:val="a4"/>
              <w:spacing w:before="0" w:after="0"/>
              <w:ind w:left="57"/>
              <w:jc w:val="both"/>
              <w:rPr>
                <w:lang w:val="uk-UA"/>
              </w:rPr>
            </w:pPr>
            <w:proofErr w:type="spellStart"/>
            <w:r w:rsidRPr="00F02092">
              <w:rPr>
                <w:shd w:val="clear" w:color="auto" w:fill="FFFFFF"/>
              </w:rPr>
              <w:t>Навички</w:t>
            </w:r>
            <w:proofErr w:type="spellEnd"/>
            <w:r w:rsidRPr="00F02092">
              <w:rPr>
                <w:shd w:val="clear" w:color="auto" w:fill="FFFFFF"/>
              </w:rPr>
              <w:t xml:space="preserve"> </w:t>
            </w:r>
            <w:proofErr w:type="spellStart"/>
            <w:r w:rsidRPr="00F02092">
              <w:rPr>
                <w:shd w:val="clear" w:color="auto" w:fill="FFFFFF"/>
              </w:rPr>
              <w:t>роботи</w:t>
            </w:r>
            <w:proofErr w:type="spellEnd"/>
            <w:r w:rsidRPr="00F02092">
              <w:rPr>
                <w:shd w:val="clear" w:color="auto" w:fill="FFFFFF"/>
              </w:rPr>
              <w:t xml:space="preserve">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w:t>
            </w:r>
            <w:proofErr w:type="spellStart"/>
            <w:r w:rsidRPr="00F02092">
              <w:rPr>
                <w:shd w:val="clear" w:color="auto" w:fill="FFFFFF"/>
              </w:rPr>
              <w:t>Інтернет</w:t>
            </w:r>
            <w:proofErr w:type="spellEnd"/>
            <w:r w:rsidRPr="00F02092">
              <w:rPr>
                <w:shd w:val="clear" w:color="auto" w:fill="FFFFFF"/>
              </w:rPr>
              <w:t>.</w:t>
            </w:r>
          </w:p>
        </w:tc>
      </w:tr>
      <w:tr w:rsidR="00020890" w:rsidRPr="00567743" w:rsidTr="00FD57B5">
        <w:tc>
          <w:tcPr>
            <w:tcW w:w="9502" w:type="dxa"/>
            <w:gridSpan w:val="3"/>
          </w:tcPr>
          <w:p w:rsidR="00020890" w:rsidRPr="00AA073C" w:rsidRDefault="00020890" w:rsidP="00020890">
            <w:pPr>
              <w:pStyle w:val="rvps14"/>
              <w:spacing w:before="0" w:beforeAutospacing="0" w:after="0" w:afterAutospacing="0"/>
              <w:ind w:left="57"/>
              <w:jc w:val="center"/>
              <w:rPr>
                <w:b/>
                <w:lang w:val="en-US"/>
              </w:rPr>
            </w:pPr>
            <w:r w:rsidRPr="00567743">
              <w:rPr>
                <w:b/>
              </w:rPr>
              <w:t>Професійні знання</w:t>
            </w: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567743"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020890" w:rsidRPr="007804DF" w:rsidRDefault="00020890" w:rsidP="00020890">
            <w:pPr>
              <w:widowControl w:val="0"/>
              <w:ind w:left="62"/>
              <w:jc w:val="both"/>
              <w:rPr>
                <w:lang w:val="uk-UA"/>
              </w:rPr>
            </w:pPr>
            <w:r w:rsidRPr="00161CB3">
              <w:rPr>
                <w:kern w:val="2"/>
                <w:lang w:val="uk-UA"/>
              </w:rPr>
              <w:t>Закон України: «Про</w:t>
            </w:r>
            <w:r w:rsidRPr="007804DF">
              <w:rPr>
                <w:lang w:val="uk-UA"/>
              </w:rPr>
              <w:t xml:space="preserve"> основи містобудування»; </w:t>
            </w:r>
          </w:p>
          <w:p w:rsidR="00020890" w:rsidRDefault="00020890" w:rsidP="00020890">
            <w:pPr>
              <w:spacing w:line="240" w:lineRule="auto"/>
              <w:ind w:left="57"/>
              <w:jc w:val="both"/>
              <w:rPr>
                <w:lang w:val="uk-UA"/>
              </w:rPr>
            </w:pPr>
            <w:r w:rsidRPr="007804DF">
              <w:t xml:space="preserve">Закон </w:t>
            </w:r>
            <w:proofErr w:type="spellStart"/>
            <w:r w:rsidRPr="007804DF">
              <w:t>України</w:t>
            </w:r>
            <w:proofErr w:type="spellEnd"/>
            <w:r w:rsidRPr="007804DF">
              <w:t xml:space="preserve"> «Про </w:t>
            </w:r>
            <w:proofErr w:type="spellStart"/>
            <w:r w:rsidRPr="007804DF">
              <w:t>регулювання</w:t>
            </w:r>
            <w:proofErr w:type="spellEnd"/>
            <w:r w:rsidRPr="007804DF">
              <w:t xml:space="preserve"> </w:t>
            </w:r>
            <w:proofErr w:type="spellStart"/>
            <w:r w:rsidRPr="007804DF">
              <w:t>містобудівної</w:t>
            </w:r>
            <w:proofErr w:type="spellEnd"/>
            <w:r w:rsidRPr="007804DF">
              <w:t xml:space="preserve"> </w:t>
            </w:r>
            <w:proofErr w:type="spellStart"/>
            <w:r w:rsidRPr="007804DF">
              <w:t>діяльності</w:t>
            </w:r>
            <w:proofErr w:type="spellEnd"/>
            <w:r w:rsidRPr="007804DF">
              <w:t>»</w:t>
            </w:r>
            <w:r>
              <w:rPr>
                <w:lang w:val="uk-UA"/>
              </w:rPr>
              <w:t xml:space="preserve">; </w:t>
            </w:r>
          </w:p>
          <w:p w:rsidR="00020890" w:rsidRPr="00851D3A" w:rsidRDefault="00020890" w:rsidP="00020890">
            <w:pPr>
              <w:spacing w:line="240" w:lineRule="auto"/>
              <w:ind w:left="57"/>
              <w:rPr>
                <w:lang w:val="uk-UA"/>
              </w:rPr>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p>
          <w:p w:rsidR="00020890" w:rsidRPr="00567743" w:rsidRDefault="00020890" w:rsidP="00020890">
            <w:pPr>
              <w:pStyle w:val="a4"/>
              <w:spacing w:before="0" w:beforeAutospacing="0" w:after="0" w:afterAutospacing="0"/>
              <w:ind w:left="57"/>
              <w:rPr>
                <w:lang w:val="uk-UA"/>
              </w:rPr>
            </w:pPr>
            <w:r w:rsidRPr="00567743">
              <w:rPr>
                <w:lang w:val="uk-UA"/>
              </w:rPr>
              <w:t xml:space="preserve">інші нормативно-правові акти, що регулюють діяльність </w:t>
            </w:r>
            <w:r>
              <w:rPr>
                <w:lang w:val="uk-UA"/>
              </w:rPr>
              <w:t>управління</w:t>
            </w:r>
          </w:p>
        </w:tc>
      </w:tr>
    </w:tbl>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Segoe UI"/>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30148C"/>
    <w:rsid w:val="003D3ED1"/>
    <w:rsid w:val="005927B6"/>
    <w:rsid w:val="005B0CA2"/>
    <w:rsid w:val="006D12B2"/>
    <w:rsid w:val="008307A1"/>
    <w:rsid w:val="009D4A73"/>
    <w:rsid w:val="00A8051F"/>
    <w:rsid w:val="00A849C1"/>
    <w:rsid w:val="00AB7968"/>
    <w:rsid w:val="00B24CBE"/>
    <w:rsid w:val="00CA0056"/>
    <w:rsid w:val="00E133CD"/>
    <w:rsid w:val="00E5518D"/>
    <w:rsid w:val="00E576A4"/>
    <w:rsid w:val="00FD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6738"/>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2019-08-21T10:40:00Z</cp:lastPrinted>
  <dcterms:created xsi:type="dcterms:W3CDTF">2019-05-20T06:34:00Z</dcterms:created>
  <dcterms:modified xsi:type="dcterms:W3CDTF">2019-10-31T13:50:00Z</dcterms:modified>
</cp:coreProperties>
</file>